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sz w:val="32"/>
          <w:szCs w:val="32"/>
          <w:u w:val="single"/>
          <w:lang w:val="en-US"/>
        </w:rPr>
      </w:pPr>
      <w:r>
        <w:rPr>
          <w:b/>
          <w:sz w:val="32"/>
          <w:szCs w:val="32"/>
          <w:u w:val="single"/>
          <w:lang w:val="en-US"/>
        </w:rPr>
      </w:r>
    </w:p>
    <w:p>
      <w:pPr>
        <w:pStyle w:val="Normal"/>
        <w:rPr>
          <w:b/>
          <w:b/>
          <w:sz w:val="32"/>
          <w:szCs w:val="32"/>
          <w:u w:val="single"/>
          <w:lang w:val="en-US"/>
        </w:rPr>
      </w:pPr>
      <w:r>
        <w:rPr>
          <w:b/>
          <w:sz w:val="32"/>
          <w:szCs w:val="32"/>
          <w:u w:val="single"/>
          <w:lang w:val="en-US"/>
        </w:rPr>
      </w:r>
    </w:p>
    <w:p>
      <w:pPr>
        <w:pStyle w:val="Normal"/>
        <w:jc w:val="center"/>
        <w:rPr>
          <w:i/>
          <w:i/>
          <w:sz w:val="36"/>
          <w:szCs w:val="36"/>
          <w:u w:val="single"/>
        </w:rPr>
      </w:pPr>
      <w:bookmarkStart w:id="0" w:name="__DdeLink__0_1979550800"/>
      <w:r>
        <w:rPr>
          <w:i/>
          <w:sz w:val="36"/>
          <w:szCs w:val="36"/>
          <w:u w:val="single"/>
        </w:rPr>
        <w:t>НОВ БЪЛГАРСКИ УНИВЕРСИТЕТ</w:t>
      </w:r>
    </w:p>
    <w:p>
      <w:pPr>
        <w:pStyle w:val="Normal"/>
        <w:jc w:val="center"/>
        <w:rPr>
          <w:i/>
          <w:i/>
          <w:sz w:val="36"/>
          <w:szCs w:val="36"/>
          <w:u w:val="single"/>
        </w:rPr>
      </w:pPr>
      <w:r>
        <w:rPr>
          <w:i/>
          <w:sz w:val="36"/>
          <w:szCs w:val="36"/>
          <w:u w:val="single"/>
        </w:rPr>
        <w:t>КАТЕДРА ПРАВО</w:t>
      </w:r>
    </w:p>
    <w:p>
      <w:pPr>
        <w:pStyle w:val="Normal"/>
        <w:jc w:val="center"/>
        <w:rPr>
          <w:i/>
          <w:i/>
          <w:sz w:val="36"/>
          <w:szCs w:val="36"/>
          <w:u w:val="single"/>
        </w:rPr>
      </w:pPr>
      <w:r>
        <w:rPr>
          <w:i/>
          <w:sz w:val="36"/>
          <w:szCs w:val="36"/>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u w:val="single"/>
        </w:rPr>
      </w:pPr>
      <w:r>
        <w:rPr>
          <w:u w:val="single"/>
        </w:rPr>
      </w:r>
    </w:p>
    <w:p>
      <w:pPr>
        <w:pStyle w:val="Normal"/>
        <w:jc w:val="center"/>
        <w:rPr>
          <w:sz w:val="72"/>
          <w:szCs w:val="72"/>
        </w:rPr>
      </w:pPr>
      <w:r>
        <w:rPr>
          <w:sz w:val="72"/>
          <w:szCs w:val="72"/>
        </w:rPr>
        <w:t>Курсова работа</w:t>
      </w:r>
    </w:p>
    <w:p>
      <w:pPr>
        <w:pStyle w:val="Normal"/>
        <w:rPr>
          <w:i/>
          <w:i/>
          <w:sz w:val="36"/>
          <w:szCs w:val="36"/>
        </w:rPr>
      </w:pPr>
      <w:r>
        <w:rPr>
          <w:i/>
          <w:sz w:val="36"/>
          <w:szCs w:val="36"/>
        </w:rPr>
      </w:r>
    </w:p>
    <w:p>
      <w:pPr>
        <w:pStyle w:val="Normal"/>
        <w:jc w:val="center"/>
        <w:rPr>
          <w:i/>
          <w:i/>
          <w:sz w:val="36"/>
          <w:szCs w:val="36"/>
        </w:rPr>
      </w:pPr>
      <w:r>
        <w:rPr>
          <w:i/>
          <w:sz w:val="36"/>
          <w:szCs w:val="36"/>
        </w:rPr>
        <w:t>тема:</w:t>
      </w:r>
    </w:p>
    <w:p>
      <w:pPr>
        <w:pStyle w:val="Normal"/>
        <w:jc w:val="center"/>
        <w:rPr>
          <w:b/>
          <w:b/>
          <w:sz w:val="36"/>
          <w:szCs w:val="36"/>
          <w:u w:val="single"/>
        </w:rPr>
      </w:pPr>
      <w:r>
        <w:rPr>
          <w:b/>
          <w:sz w:val="36"/>
          <w:szCs w:val="36"/>
          <w:u w:val="single"/>
        </w:rPr>
        <w:t>Белгия- конституционно устройство</w:t>
      </w:r>
    </w:p>
    <w:p>
      <w:pPr>
        <w:pStyle w:val="Normal"/>
        <w:jc w:val="center"/>
        <w:rPr>
          <w:b/>
          <w:b/>
          <w:sz w:val="36"/>
          <w:szCs w:val="36"/>
          <w:u w:val="single"/>
        </w:rPr>
      </w:pPr>
      <w:r>
        <w:rPr>
          <w:b/>
          <w:sz w:val="36"/>
          <w:szCs w:val="36"/>
          <w:u w:val="single"/>
        </w:rPr>
      </w:r>
    </w:p>
    <w:p>
      <w:pPr>
        <w:pStyle w:val="Normal"/>
        <w:rPr>
          <w:b/>
          <w:b/>
          <w:sz w:val="36"/>
          <w:szCs w:val="36"/>
          <w:u w:val="single"/>
        </w:rPr>
      </w:pPr>
      <w:r>
        <w:rPr>
          <w:b/>
          <w:sz w:val="36"/>
          <w:szCs w:val="36"/>
          <w:u w:val="single"/>
        </w:rPr>
      </w:r>
    </w:p>
    <w:p>
      <w:pPr>
        <w:pStyle w:val="Normal"/>
        <w:rPr>
          <w:b/>
          <w:b/>
          <w:sz w:val="36"/>
          <w:szCs w:val="36"/>
          <w:u w:val="single"/>
        </w:rPr>
      </w:pPr>
      <w:r>
        <w:rPr>
          <w:b/>
          <w:sz w:val="36"/>
          <w:szCs w:val="36"/>
          <w:u w:val="single"/>
        </w:rPr>
      </w:r>
    </w:p>
    <w:p>
      <w:pPr>
        <w:pStyle w:val="Normal"/>
        <w:rPr>
          <w:b/>
          <w:b/>
          <w:sz w:val="36"/>
          <w:szCs w:val="36"/>
          <w:u w:val="single"/>
        </w:rPr>
      </w:pPr>
      <w:r>
        <w:rPr>
          <w:b/>
          <w:sz w:val="36"/>
          <w:szCs w:val="36"/>
          <w:u w:val="single"/>
        </w:rPr>
      </w:r>
    </w:p>
    <w:p>
      <w:pPr>
        <w:pStyle w:val="Normal"/>
        <w:rPr>
          <w:b/>
          <w:b/>
          <w:i/>
          <w:i/>
          <w:sz w:val="36"/>
          <w:szCs w:val="36"/>
          <w:u w:val="single"/>
        </w:rPr>
      </w:pPr>
      <w:r>
        <w:rPr>
          <w:b/>
          <w:i/>
          <w:sz w:val="36"/>
          <w:szCs w:val="36"/>
          <w:u w:val="single"/>
        </w:rPr>
      </w:r>
    </w:p>
    <w:p>
      <w:pPr>
        <w:pStyle w:val="Normal"/>
        <w:rPr>
          <w:i/>
          <w:i/>
          <w:sz w:val="36"/>
          <w:szCs w:val="36"/>
        </w:rPr>
      </w:pPr>
      <w:r>
        <w:rPr>
          <w:i/>
          <w:sz w:val="36"/>
          <w:szCs w:val="36"/>
        </w:rPr>
        <w:t xml:space="preserve">Предмет: </w:t>
      </w:r>
      <w:r>
        <w:rPr>
          <w:sz w:val="36"/>
          <w:szCs w:val="36"/>
        </w:rPr>
        <w:t>Федерации и федерализъм</w:t>
      </w:r>
    </w:p>
    <w:p>
      <w:pPr>
        <w:pStyle w:val="Normal"/>
        <w:rPr>
          <w:sz w:val="36"/>
          <w:szCs w:val="36"/>
        </w:rPr>
      </w:pPr>
      <w:r>
        <w:rPr>
          <w:i/>
          <w:sz w:val="36"/>
          <w:szCs w:val="36"/>
        </w:rPr>
        <w:t xml:space="preserve">Изготвил: </w:t>
      </w:r>
    </w:p>
    <w:p>
      <w:pPr>
        <w:pStyle w:val="Normal"/>
        <w:rPr>
          <w:sz w:val="36"/>
          <w:szCs w:val="36"/>
        </w:rPr>
      </w:pPr>
      <w:r>
        <w:rPr>
          <w:sz w:val="36"/>
          <w:szCs w:val="36"/>
        </w:rPr>
      </w:r>
    </w:p>
    <w:p>
      <w:pPr>
        <w:pStyle w:val="Normal"/>
        <w:jc w:val="center"/>
        <w:rPr>
          <w:sz w:val="36"/>
          <w:szCs w:val="36"/>
        </w:rPr>
      </w:pPr>
      <w:r>
        <w:rPr>
          <w:sz w:val="36"/>
          <w:szCs w:val="36"/>
        </w:rPr>
      </w:r>
    </w:p>
    <w:p>
      <w:pPr>
        <w:pStyle w:val="Normal"/>
        <w:jc w:val="center"/>
        <w:rPr>
          <w:sz w:val="36"/>
          <w:szCs w:val="36"/>
        </w:rPr>
      </w:pPr>
      <w:r>
        <w:rPr>
          <w:sz w:val="36"/>
          <w:szCs w:val="36"/>
        </w:rPr>
      </w:r>
    </w:p>
    <w:p>
      <w:pPr>
        <w:pStyle w:val="Normal"/>
        <w:jc w:val="center"/>
        <w:rPr>
          <w:sz w:val="36"/>
          <w:szCs w:val="36"/>
        </w:rPr>
      </w:pPr>
      <w:r>
        <w:rPr>
          <w:sz w:val="36"/>
          <w:szCs w:val="36"/>
        </w:rPr>
      </w:r>
    </w:p>
    <w:p>
      <w:pPr>
        <w:pStyle w:val="Normal"/>
        <w:jc w:val="center"/>
        <w:rPr>
          <w:sz w:val="36"/>
          <w:szCs w:val="36"/>
        </w:rPr>
      </w:pPr>
      <w:r>
        <w:rPr>
          <w:sz w:val="36"/>
          <w:szCs w:val="36"/>
        </w:rPr>
      </w:r>
    </w:p>
    <w:p>
      <w:pPr>
        <w:pStyle w:val="Normal"/>
        <w:jc w:val="center"/>
        <w:rPr>
          <w:sz w:val="36"/>
          <w:szCs w:val="36"/>
        </w:rPr>
      </w:pPr>
      <w:r>
        <w:rPr>
          <w:sz w:val="36"/>
          <w:szCs w:val="36"/>
        </w:rPr>
      </w:r>
    </w:p>
    <w:p>
      <w:pPr>
        <w:pStyle w:val="Normal"/>
        <w:jc w:val="center"/>
        <w:rPr>
          <w:sz w:val="36"/>
          <w:szCs w:val="36"/>
        </w:rPr>
      </w:pPr>
      <w:r>
        <w:rPr>
          <w:sz w:val="36"/>
          <w:szCs w:val="36"/>
        </w:rPr>
      </w:r>
    </w:p>
    <w:p>
      <w:pPr>
        <w:pStyle w:val="Normal"/>
        <w:rPr>
          <w:sz w:val="36"/>
          <w:szCs w:val="36"/>
        </w:rPr>
      </w:pPr>
      <w:r>
        <w:rPr>
          <w:sz w:val="36"/>
          <w:szCs w:val="36"/>
        </w:rPr>
      </w:r>
    </w:p>
    <w:p>
      <w:pPr>
        <w:pStyle w:val="Normal"/>
        <w:jc w:val="center"/>
        <w:rPr>
          <w:sz w:val="36"/>
          <w:szCs w:val="36"/>
        </w:rPr>
      </w:pPr>
      <w:r>
        <w:rPr>
          <w:sz w:val="36"/>
          <w:szCs w:val="36"/>
        </w:rPr>
        <w:t>София</w:t>
      </w:r>
    </w:p>
    <w:p>
      <w:pPr>
        <w:pStyle w:val="Normal"/>
        <w:jc w:val="center"/>
        <w:rPr>
          <w:sz w:val="36"/>
          <w:szCs w:val="36"/>
        </w:rPr>
      </w:pPr>
      <w:r>
        <w:rPr>
          <w:sz w:val="36"/>
          <w:szCs w:val="36"/>
        </w:rPr>
        <w:t>2010</w:t>
      </w:r>
    </w:p>
    <w:p>
      <w:pPr>
        <w:pStyle w:val="NormalWeb"/>
        <w:jc w:val="both"/>
        <w:rPr>
          <w:b/>
          <w:b/>
          <w:sz w:val="32"/>
          <w:szCs w:val="32"/>
          <w:u w:val="single"/>
        </w:rPr>
      </w:pPr>
      <w:r>
        <w:rPr>
          <w:b/>
          <w:sz w:val="32"/>
          <w:szCs w:val="32"/>
          <w:u w:val="single"/>
        </w:rPr>
      </w:r>
    </w:p>
    <w:p>
      <w:pPr>
        <w:pStyle w:val="NormalWeb"/>
        <w:jc w:val="both"/>
        <w:rPr>
          <w:sz w:val="28"/>
          <w:szCs w:val="28"/>
          <w:lang w:val="en-US"/>
        </w:rPr>
      </w:pPr>
      <w:r>
        <w:rPr>
          <w:bCs/>
          <w:sz w:val="28"/>
          <w:szCs w:val="28"/>
        </w:rPr>
        <w:t xml:space="preserve">   </w:t>
      </w:r>
      <w:r>
        <w:rPr>
          <w:bCs/>
          <w:sz w:val="28"/>
          <w:szCs w:val="28"/>
        </w:rPr>
        <w:t>Белгия</w:t>
      </w:r>
      <w:r>
        <w:rPr>
          <w:sz w:val="28"/>
          <w:szCs w:val="28"/>
        </w:rPr>
        <w:t xml:space="preserve"> е </w:t>
      </w:r>
      <w:hyperlink r:id="rId2">
        <w:r>
          <w:rPr>
            <w:rStyle w:val="InternetLink"/>
            <w:color w:val="000000"/>
            <w:sz w:val="28"/>
            <w:szCs w:val="28"/>
            <w:u w:val="none"/>
          </w:rPr>
          <w:t>държава</w:t>
        </w:r>
      </w:hyperlink>
      <w:r>
        <w:rPr>
          <w:sz w:val="28"/>
          <w:szCs w:val="28"/>
        </w:rPr>
        <w:t xml:space="preserve"> в Западна </w:t>
      </w:r>
      <w:hyperlink r:id="rId3">
        <w:r>
          <w:rPr>
            <w:rStyle w:val="InternetLink"/>
            <w:color w:val="000000"/>
            <w:sz w:val="28"/>
            <w:szCs w:val="28"/>
            <w:u w:val="none"/>
          </w:rPr>
          <w:t>Европа</w:t>
        </w:r>
      </w:hyperlink>
      <w:r>
        <w:rPr>
          <w:sz w:val="28"/>
          <w:szCs w:val="28"/>
        </w:rPr>
        <w:t xml:space="preserve">. Тя граничи с </w:t>
      </w:r>
      <w:hyperlink r:id="rId4">
        <w:r>
          <w:rPr>
            <w:rStyle w:val="InternetLink"/>
            <w:color w:val="000000"/>
            <w:sz w:val="28"/>
            <w:szCs w:val="28"/>
            <w:u w:val="none"/>
          </w:rPr>
          <w:t>Нидерландия</w:t>
        </w:r>
      </w:hyperlink>
      <w:r>
        <w:rPr>
          <w:sz w:val="28"/>
          <w:szCs w:val="28"/>
        </w:rPr>
        <w:t xml:space="preserve">, </w:t>
      </w:r>
      <w:hyperlink r:id="rId5">
        <w:r>
          <w:rPr>
            <w:rStyle w:val="InternetLink"/>
            <w:color w:val="000000"/>
            <w:sz w:val="28"/>
            <w:szCs w:val="28"/>
            <w:u w:val="none"/>
          </w:rPr>
          <w:t>Германия</w:t>
        </w:r>
      </w:hyperlink>
      <w:r>
        <w:rPr>
          <w:sz w:val="28"/>
          <w:szCs w:val="28"/>
        </w:rPr>
        <w:t xml:space="preserve">, </w:t>
      </w:r>
      <w:hyperlink r:id="rId6">
        <w:r>
          <w:rPr>
            <w:rStyle w:val="InternetLink"/>
            <w:color w:val="000000"/>
            <w:sz w:val="28"/>
            <w:szCs w:val="28"/>
            <w:u w:val="none"/>
          </w:rPr>
          <w:t>Люксембург</w:t>
        </w:r>
      </w:hyperlink>
      <w:r>
        <w:rPr>
          <w:sz w:val="28"/>
          <w:szCs w:val="28"/>
        </w:rPr>
        <w:t xml:space="preserve"> и </w:t>
      </w:r>
      <w:hyperlink r:id="rId7">
        <w:r>
          <w:rPr>
            <w:rStyle w:val="InternetLink"/>
            <w:color w:val="000000"/>
            <w:sz w:val="28"/>
            <w:szCs w:val="28"/>
            <w:u w:val="none"/>
          </w:rPr>
          <w:t>Франция</w:t>
        </w:r>
      </w:hyperlink>
      <w:r>
        <w:rPr>
          <w:sz w:val="28"/>
          <w:szCs w:val="28"/>
        </w:rPr>
        <w:t xml:space="preserve">, а на северозапад — със </w:t>
      </w:r>
      <w:hyperlink r:id="rId8">
        <w:r>
          <w:rPr>
            <w:rStyle w:val="InternetLink"/>
            <w:color w:val="000000"/>
            <w:sz w:val="28"/>
            <w:szCs w:val="28"/>
            <w:u w:val="none"/>
          </w:rPr>
          <w:t>Северно море</w:t>
        </w:r>
      </w:hyperlink>
      <w:r>
        <w:rPr>
          <w:sz w:val="28"/>
          <w:szCs w:val="28"/>
        </w:rPr>
        <w:t>. Белгия има население от повече от десет милиона души и територия от едва тридесет хиляди квадратни километра, което я прави 17-тата най-гъсто населена страна в света.</w:t>
      </w:r>
    </w:p>
    <w:p>
      <w:pPr>
        <w:pStyle w:val="NormalWeb"/>
        <w:jc w:val="both"/>
        <w:rPr/>
      </w:pPr>
      <w:r>
        <w:rPr>
          <w:sz w:val="28"/>
          <w:szCs w:val="28"/>
        </w:rPr>
        <w:t xml:space="preserve">   </w:t>
      </w:r>
      <w:r>
        <w:rPr>
          <w:sz w:val="28"/>
          <w:szCs w:val="28"/>
        </w:rPr>
        <w:t xml:space="preserve">Белгия се намира на културната граница между </w:t>
      </w:r>
      <w:hyperlink r:id="rId9">
        <w:r>
          <w:rPr>
            <w:rStyle w:val="InternetLink"/>
            <w:color w:val="000000"/>
            <w:sz w:val="28"/>
            <w:szCs w:val="28"/>
            <w:u w:val="none"/>
          </w:rPr>
          <w:t>Германска</w:t>
        </w:r>
      </w:hyperlink>
      <w:r>
        <w:rPr>
          <w:sz w:val="28"/>
          <w:szCs w:val="28"/>
        </w:rPr>
        <w:t xml:space="preserve"> и </w:t>
      </w:r>
      <w:hyperlink r:id="rId10">
        <w:r>
          <w:rPr>
            <w:rStyle w:val="InternetLink"/>
            <w:color w:val="000000"/>
            <w:sz w:val="28"/>
            <w:szCs w:val="28"/>
            <w:u w:val="none"/>
          </w:rPr>
          <w:t>Романска</w:t>
        </w:r>
      </w:hyperlink>
      <w:r>
        <w:rPr>
          <w:sz w:val="28"/>
          <w:szCs w:val="28"/>
        </w:rPr>
        <w:t xml:space="preserve"> Европа. В резултат на това страната е лингвистично и културно разделена. В нея се говорят два основни езика — </w:t>
      </w:r>
      <w:hyperlink r:id="rId11">
        <w:r>
          <w:rPr>
            <w:rStyle w:val="InternetLink"/>
            <w:color w:val="000000"/>
            <w:sz w:val="28"/>
            <w:szCs w:val="28"/>
            <w:u w:val="none"/>
          </w:rPr>
          <w:t>нидерландски</w:t>
        </w:r>
      </w:hyperlink>
      <w:r>
        <w:rPr>
          <w:sz w:val="28"/>
          <w:szCs w:val="28"/>
        </w:rPr>
        <w:t xml:space="preserve"> (често наричан и </w:t>
      </w:r>
      <w:hyperlink r:id="rId12">
        <w:r>
          <w:rPr>
            <w:rStyle w:val="InternetLink"/>
            <w:color w:val="000000"/>
            <w:sz w:val="28"/>
            <w:szCs w:val="28"/>
            <w:u w:val="none"/>
          </w:rPr>
          <w:t>фламандски</w:t>
        </w:r>
      </w:hyperlink>
      <w:r>
        <w:rPr>
          <w:sz w:val="28"/>
          <w:szCs w:val="28"/>
        </w:rPr>
        <w:t xml:space="preserve">) във </w:t>
      </w:r>
      <w:hyperlink r:id="rId13">
        <w:r>
          <w:rPr>
            <w:rStyle w:val="InternetLink"/>
            <w:color w:val="000000"/>
            <w:sz w:val="28"/>
            <w:szCs w:val="28"/>
            <w:u w:val="none"/>
          </w:rPr>
          <w:t>Фландрия</w:t>
        </w:r>
      </w:hyperlink>
      <w:r>
        <w:rPr>
          <w:sz w:val="28"/>
          <w:szCs w:val="28"/>
        </w:rPr>
        <w:t xml:space="preserve"> на север и </w:t>
      </w:r>
      <w:hyperlink r:id="rId14">
        <w:r>
          <w:rPr>
            <w:rStyle w:val="InternetLink"/>
            <w:color w:val="000000"/>
            <w:sz w:val="28"/>
            <w:szCs w:val="28"/>
            <w:u w:val="none"/>
          </w:rPr>
          <w:t>френски</w:t>
        </w:r>
      </w:hyperlink>
      <w:r>
        <w:rPr>
          <w:sz w:val="28"/>
          <w:szCs w:val="28"/>
        </w:rPr>
        <w:t xml:space="preserve"> във </w:t>
      </w:r>
      <w:hyperlink r:id="rId15">
        <w:r>
          <w:rPr>
            <w:rStyle w:val="InternetLink"/>
            <w:color w:val="000000"/>
            <w:sz w:val="28"/>
            <w:szCs w:val="28"/>
            <w:u w:val="none"/>
          </w:rPr>
          <w:t>Валония</w:t>
        </w:r>
      </w:hyperlink>
      <w:r>
        <w:rPr>
          <w:sz w:val="28"/>
          <w:szCs w:val="28"/>
        </w:rPr>
        <w:t xml:space="preserve"> на юг. В източните райони има официално признато малцинство, говорещо </w:t>
      </w:r>
      <w:hyperlink r:id="rId16">
        <w:r>
          <w:rPr>
            <w:rStyle w:val="InternetLink"/>
            <w:color w:val="000000"/>
            <w:sz w:val="28"/>
            <w:szCs w:val="28"/>
            <w:u w:val="none"/>
          </w:rPr>
          <w:t>немски език</w:t>
        </w:r>
      </w:hyperlink>
      <w:r>
        <w:rPr>
          <w:sz w:val="28"/>
          <w:szCs w:val="28"/>
        </w:rPr>
        <w:t xml:space="preserve">, а столицата </w:t>
      </w:r>
      <w:hyperlink r:id="rId17">
        <w:r>
          <w:rPr>
            <w:rStyle w:val="InternetLink"/>
            <w:color w:val="000000"/>
            <w:sz w:val="28"/>
            <w:szCs w:val="28"/>
            <w:u w:val="none"/>
          </w:rPr>
          <w:t>Столичен регион Брюксел</w:t>
        </w:r>
      </w:hyperlink>
      <w:r>
        <w:rPr>
          <w:sz w:val="28"/>
          <w:szCs w:val="28"/>
        </w:rPr>
        <w:t xml:space="preserve"> официално е двуезична. Това езиково разнообразие, което често води до политически конфликти, е оставило своя отпечатък в сложните институции и </w:t>
      </w:r>
      <w:hyperlink r:id="rId18">
        <w:r>
          <w:rPr>
            <w:rStyle w:val="InternetLink"/>
            <w:color w:val="000000"/>
            <w:sz w:val="28"/>
            <w:szCs w:val="28"/>
            <w:u w:val="none"/>
          </w:rPr>
          <w:t>политическа история</w:t>
        </w:r>
      </w:hyperlink>
      <w:r>
        <w:rPr>
          <w:sz w:val="28"/>
          <w:szCs w:val="28"/>
        </w:rPr>
        <w:t xml:space="preserve"> на Белгия.</w:t>
      </w:r>
    </w:p>
    <w:p>
      <w:pPr>
        <w:pStyle w:val="Normal"/>
        <w:jc w:val="both"/>
        <w:rPr>
          <w:sz w:val="28"/>
          <w:szCs w:val="28"/>
          <w:vertAlign w:val="superscript"/>
        </w:rPr>
      </w:pPr>
      <w:r>
        <w:rPr>
          <w:sz w:val="28"/>
          <w:szCs w:val="28"/>
        </w:rPr>
        <w:t xml:space="preserve">   </w:t>
      </w:r>
      <w:r>
        <w:rPr>
          <w:sz w:val="28"/>
          <w:szCs w:val="28"/>
        </w:rPr>
        <w:t xml:space="preserve">Географски и културно Белгия е на кръстопътя на Европа и в продължение на последните 2000 години е била свидетел на непрестанни приливи и отливи на различни </w:t>
      </w:r>
      <w:hyperlink r:id="rId19">
        <w:r>
          <w:rPr>
            <w:rStyle w:val="InternetLink"/>
            <w:color w:val="000000"/>
            <w:sz w:val="28"/>
            <w:szCs w:val="28"/>
            <w:u w:val="none"/>
          </w:rPr>
          <w:t>раси</w:t>
        </w:r>
      </w:hyperlink>
      <w:r>
        <w:rPr>
          <w:sz w:val="28"/>
          <w:szCs w:val="28"/>
        </w:rPr>
        <w:t xml:space="preserve"> и </w:t>
      </w:r>
      <w:hyperlink r:id="rId20">
        <w:r>
          <w:rPr>
            <w:rStyle w:val="InternetLink"/>
            <w:color w:val="000000"/>
            <w:sz w:val="28"/>
            <w:szCs w:val="28"/>
            <w:u w:val="none"/>
          </w:rPr>
          <w:t>култури</w:t>
        </w:r>
      </w:hyperlink>
      <w:r>
        <w:rPr>
          <w:sz w:val="28"/>
          <w:szCs w:val="28"/>
        </w:rPr>
        <w:t xml:space="preserve">. Вследствие на това в Белгия са се претопили </w:t>
      </w:r>
      <w:hyperlink r:id="rId21">
        <w:r>
          <w:rPr>
            <w:rStyle w:val="InternetLink"/>
            <w:color w:val="000000"/>
            <w:sz w:val="28"/>
            <w:szCs w:val="28"/>
            <w:u w:val="none"/>
          </w:rPr>
          <w:t>келтската</w:t>
        </w:r>
      </w:hyperlink>
      <w:r>
        <w:rPr>
          <w:sz w:val="28"/>
          <w:szCs w:val="28"/>
        </w:rPr>
        <w:t xml:space="preserve">, </w:t>
      </w:r>
      <w:hyperlink r:id="rId22">
        <w:r>
          <w:rPr>
            <w:rStyle w:val="InternetLink"/>
            <w:color w:val="000000"/>
            <w:sz w:val="28"/>
            <w:szCs w:val="28"/>
            <w:u w:val="none"/>
          </w:rPr>
          <w:t>римската</w:t>
        </w:r>
      </w:hyperlink>
      <w:r>
        <w:rPr>
          <w:sz w:val="28"/>
          <w:szCs w:val="28"/>
        </w:rPr>
        <w:t xml:space="preserve"> и </w:t>
      </w:r>
      <w:hyperlink r:id="rId23">
        <w:r>
          <w:rPr>
            <w:rStyle w:val="InternetLink"/>
            <w:color w:val="000000"/>
            <w:sz w:val="28"/>
            <w:szCs w:val="28"/>
            <w:u w:val="none"/>
          </w:rPr>
          <w:t>германската</w:t>
        </w:r>
      </w:hyperlink>
      <w:r>
        <w:rPr>
          <w:sz w:val="28"/>
          <w:szCs w:val="28"/>
        </w:rPr>
        <w:t xml:space="preserve"> култури, а по-късно се е добавило влиянието на </w:t>
      </w:r>
      <w:hyperlink r:id="rId24">
        <w:r>
          <w:rPr>
            <w:rStyle w:val="InternetLink"/>
            <w:color w:val="000000"/>
            <w:sz w:val="28"/>
            <w:szCs w:val="28"/>
            <w:u w:val="none"/>
          </w:rPr>
          <w:t>Франция</w:t>
        </w:r>
      </w:hyperlink>
      <w:r>
        <w:rPr>
          <w:sz w:val="28"/>
          <w:szCs w:val="28"/>
        </w:rPr>
        <w:t xml:space="preserve">, </w:t>
      </w:r>
      <w:hyperlink r:id="rId25">
        <w:r>
          <w:rPr>
            <w:rStyle w:val="InternetLink"/>
            <w:color w:val="000000"/>
            <w:sz w:val="28"/>
            <w:szCs w:val="28"/>
            <w:u w:val="none"/>
          </w:rPr>
          <w:t>Нидерландия</w:t>
        </w:r>
      </w:hyperlink>
      <w:r>
        <w:rPr>
          <w:sz w:val="28"/>
          <w:szCs w:val="28"/>
        </w:rPr>
        <w:t xml:space="preserve">, </w:t>
      </w:r>
      <w:hyperlink r:id="rId26">
        <w:r>
          <w:rPr>
            <w:rStyle w:val="InternetLink"/>
            <w:color w:val="000000"/>
            <w:sz w:val="28"/>
            <w:szCs w:val="28"/>
            <w:u w:val="none"/>
          </w:rPr>
          <w:t>Испания</w:t>
        </w:r>
      </w:hyperlink>
      <w:r>
        <w:rPr>
          <w:sz w:val="28"/>
          <w:szCs w:val="28"/>
        </w:rPr>
        <w:t xml:space="preserve"> и </w:t>
      </w:r>
      <w:hyperlink r:id="rId27">
        <w:r>
          <w:rPr>
            <w:rStyle w:val="InternetLink"/>
            <w:color w:val="000000"/>
            <w:sz w:val="28"/>
            <w:szCs w:val="28"/>
            <w:u w:val="none"/>
          </w:rPr>
          <w:t>Австрия</w:t>
        </w:r>
      </w:hyperlink>
      <w:r>
        <w:rPr>
          <w:sz w:val="28"/>
          <w:szCs w:val="28"/>
        </w:rPr>
        <w:t>.</w:t>
      </w:r>
      <w:r>
        <w:rPr>
          <w:sz w:val="28"/>
          <w:szCs w:val="28"/>
          <w:vertAlign w:val="superscript"/>
        </w:rPr>
        <w:t xml:space="preserve"> </w:t>
      </w:r>
    </w:p>
    <w:p>
      <w:pPr>
        <w:pStyle w:val="NormalWeb"/>
        <w:jc w:val="both"/>
        <w:rPr>
          <w:sz w:val="28"/>
          <w:szCs w:val="28"/>
          <w:lang w:val="en-US"/>
        </w:rPr>
      </w:pPr>
      <w:r>
        <w:rPr>
          <w:sz w:val="28"/>
          <w:szCs w:val="28"/>
        </w:rPr>
        <w:t xml:space="preserve">   </w:t>
      </w:r>
      <w:r>
        <w:rPr>
          <w:sz w:val="28"/>
          <w:szCs w:val="28"/>
        </w:rPr>
        <w:t xml:space="preserve">През </w:t>
      </w:r>
      <w:hyperlink r:id="rId28">
        <w:r>
          <w:rPr>
            <w:rStyle w:val="InternetLink"/>
            <w:color w:val="000000"/>
            <w:sz w:val="28"/>
            <w:szCs w:val="28"/>
            <w:u w:val="none"/>
          </w:rPr>
          <w:t>20 век</w:t>
        </w:r>
      </w:hyperlink>
      <w:r>
        <w:rPr>
          <w:sz w:val="28"/>
          <w:szCs w:val="28"/>
        </w:rPr>
        <w:t xml:space="preserve"> историята на Белгия е все по-силно повлияна от нарастващата автономия на двете основни общности, нидерландо- и френско-говорещите. Това се вижда и от факта, че от около </w:t>
      </w:r>
      <w:hyperlink r:id="rId29">
        <w:r>
          <w:rPr>
            <w:rStyle w:val="InternetLink"/>
            <w:color w:val="000000"/>
            <w:sz w:val="28"/>
            <w:szCs w:val="28"/>
            <w:u w:val="none"/>
          </w:rPr>
          <w:t>1970</w:t>
        </w:r>
      </w:hyperlink>
      <w:r>
        <w:rPr>
          <w:sz w:val="28"/>
          <w:szCs w:val="28"/>
        </w:rPr>
        <w:t xml:space="preserve"> г. вече не съществуват общонационални белгийски политически партии, а само партии на </w:t>
      </w:r>
      <w:hyperlink r:id="rId30">
        <w:r>
          <w:rPr>
            <w:rStyle w:val="InternetLink"/>
            <w:color w:val="000000"/>
            <w:sz w:val="28"/>
            <w:szCs w:val="28"/>
            <w:u w:val="none"/>
          </w:rPr>
          <w:t>фламандско</w:t>
        </w:r>
      </w:hyperlink>
      <w:r>
        <w:rPr>
          <w:sz w:val="28"/>
          <w:szCs w:val="28"/>
        </w:rPr>
        <w:t>- или френско-говорещите. Редовните опити за създаване на национални белгийски партии приключват с не повече от 1% от гласовете. Политическият пейзаж представлява почти огледална политическа система, отразяваща двете водещи езикови общности.</w:t>
      </w:r>
    </w:p>
    <w:p>
      <w:pPr>
        <w:pStyle w:val="NormalWeb"/>
        <w:jc w:val="both"/>
        <w:rPr/>
      </w:pPr>
      <w:r>
        <w:rPr>
          <w:sz w:val="28"/>
          <w:szCs w:val="28"/>
        </w:rPr>
        <w:t xml:space="preserve">   </w:t>
      </w:r>
      <w:r>
        <w:rPr>
          <w:sz w:val="28"/>
          <w:szCs w:val="28"/>
        </w:rPr>
        <w:t xml:space="preserve">Историческото, културно и политическо развитие на Белгия намира отражение и в нейното конституционно устройство. </w:t>
      </w:r>
      <w:r>
        <w:rPr>
          <w:bCs/>
          <w:sz w:val="28"/>
          <w:szCs w:val="28"/>
        </w:rPr>
        <w:t>Конституцията на Белгия</w:t>
      </w:r>
      <w:r>
        <w:rPr>
          <w:sz w:val="28"/>
          <w:szCs w:val="28"/>
        </w:rPr>
        <w:t xml:space="preserve"> датира от 1831г. На 25-ти ноември, 1830 година е изготвен проект за конституция, изработен от комисия, номинирана от Временно правителство и е представен за гласуване на Национален конгрес. Конгресът одобрява Конституцията на 7 февруари 1831г. и тя влиза в сила на 26 юли 1831г. (с изключение на някои разпоредби). Белгийската конституция е синтез на френските конституции от 1791г., 1814г. и 1830г., холандската конституция от 1814 и на английските конституционни закони. Въпреки това конституционният текст си остава оригинално творчество, а неговите основни принципи са все още в употреба и днес.</w:t>
      </w:r>
    </w:p>
    <w:p>
      <w:pPr>
        <w:pStyle w:val="NormalWeb"/>
        <w:jc w:val="both"/>
        <w:rPr>
          <w:sz w:val="28"/>
          <w:szCs w:val="28"/>
        </w:rPr>
      </w:pPr>
      <w:r>
        <w:rPr>
          <w:sz w:val="28"/>
          <w:szCs w:val="28"/>
        </w:rPr>
        <w:t xml:space="preserve">   </w:t>
      </w:r>
      <w:r>
        <w:rPr>
          <w:sz w:val="28"/>
          <w:szCs w:val="28"/>
        </w:rPr>
        <w:t>С приемането на Конституцията Белгия става парламентарна монархия, която прилага принципа  на т.нар. „министерска отговорност” за политиката на правителството,</w:t>
      </w:r>
      <w:r>
        <w:rPr>
          <w:sz w:val="28"/>
          <w:szCs w:val="28"/>
          <w:lang w:val="en-US"/>
        </w:rPr>
        <w:t xml:space="preserve"> </w:t>
      </w:r>
      <w:r>
        <w:rPr>
          <w:sz w:val="28"/>
          <w:szCs w:val="28"/>
        </w:rPr>
        <w:t>както и принципа за разделение на властите. Конституцията установява  Белгия като централизирана единна държава. Въпреки това, от 1970 г. насам, чрез последователни реформи  Белгия постепенно се развива в една федерална държава.Последната радикална промяна на конституцията е реализирана през 1993 г., с което официално се узаконява и белгийският федерализъм.</w:t>
      </w:r>
    </w:p>
    <w:p>
      <w:pPr>
        <w:pStyle w:val="Normal"/>
        <w:jc w:val="both"/>
        <w:rPr>
          <w:sz w:val="28"/>
          <w:szCs w:val="28"/>
        </w:rPr>
      </w:pPr>
      <w:r>
        <w:rPr>
          <w:sz w:val="28"/>
          <w:szCs w:val="28"/>
        </w:rPr>
        <w:t xml:space="preserve">   </w:t>
      </w:r>
      <w:r>
        <w:rPr>
          <w:sz w:val="28"/>
          <w:szCs w:val="28"/>
        </w:rPr>
        <w:t xml:space="preserve">През 1831г.  </w:t>
      </w:r>
      <w:hyperlink r:id="rId31">
        <w:r>
          <w:rPr>
            <w:rStyle w:val="InternetLink"/>
            <w:color w:val="000000"/>
            <w:sz w:val="28"/>
            <w:szCs w:val="28"/>
            <w:u w:val="none"/>
          </w:rPr>
          <w:t>Белгия</w:t>
        </w:r>
      </w:hyperlink>
      <w:r>
        <w:rPr>
          <w:sz w:val="28"/>
          <w:szCs w:val="28"/>
        </w:rPr>
        <w:t xml:space="preserve"> е единна държава, организирана на три нива: </w:t>
      </w:r>
      <w:hyperlink r:id="rId32">
        <w:r>
          <w:rPr>
            <w:rStyle w:val="InternetLink"/>
            <w:color w:val="000000"/>
            <w:sz w:val="28"/>
            <w:szCs w:val="28"/>
            <w:u w:val="none"/>
          </w:rPr>
          <w:t>национално ниво,</w:t>
        </w:r>
      </w:hyperlink>
      <w:r>
        <w:rPr>
          <w:sz w:val="28"/>
          <w:szCs w:val="28"/>
        </w:rPr>
        <w:t xml:space="preserve"> провинции и </w:t>
      </w:r>
      <w:hyperlink r:id="rId33">
        <w:r>
          <w:rPr>
            <w:rStyle w:val="InternetLink"/>
            <w:color w:val="000000"/>
            <w:sz w:val="28"/>
            <w:szCs w:val="28"/>
            <w:u w:val="none"/>
          </w:rPr>
          <w:t>общини.</w:t>
        </w:r>
      </w:hyperlink>
      <w:r>
        <w:rPr>
          <w:sz w:val="28"/>
          <w:szCs w:val="28"/>
        </w:rPr>
        <w:t xml:space="preserve"> От 1993 г. първият член от Конституцията предвижда, че </w:t>
      </w:r>
      <w:hyperlink r:id="rId34">
        <w:r>
          <w:rPr>
            <w:rStyle w:val="InternetLink"/>
            <w:color w:val="000000"/>
            <w:sz w:val="28"/>
            <w:szCs w:val="28"/>
            <w:u w:val="none"/>
          </w:rPr>
          <w:t>Белгия</w:t>
        </w:r>
      </w:hyperlink>
      <w:r>
        <w:rPr>
          <w:sz w:val="28"/>
          <w:szCs w:val="28"/>
        </w:rPr>
        <w:t xml:space="preserve"> е федерална държава, съставена от </w:t>
      </w:r>
      <w:hyperlink r:id="rId35">
        <w:r>
          <w:rPr>
            <w:rStyle w:val="InternetLink"/>
            <w:color w:val="000000"/>
            <w:sz w:val="28"/>
            <w:szCs w:val="28"/>
            <w:u w:val="none"/>
          </w:rPr>
          <w:t>общности и региони.</w:t>
        </w:r>
      </w:hyperlink>
      <w:r>
        <w:rPr>
          <w:sz w:val="28"/>
          <w:szCs w:val="28"/>
        </w:rPr>
        <w:t xml:space="preserve"> Член 2 разделя Белгия на три общини: </w:t>
      </w:r>
      <w:hyperlink r:id="rId36">
        <w:r>
          <w:rPr>
            <w:rStyle w:val="InternetLink"/>
            <w:color w:val="000000"/>
            <w:sz w:val="28"/>
            <w:szCs w:val="28"/>
            <w:u w:val="none"/>
          </w:rPr>
          <w:t>фламандска общност,</w:t>
        </w:r>
      </w:hyperlink>
      <w:r>
        <w:rPr>
          <w:sz w:val="28"/>
          <w:szCs w:val="28"/>
        </w:rPr>
        <w:t xml:space="preserve">  </w:t>
      </w:r>
      <w:hyperlink r:id="rId37">
        <w:r>
          <w:rPr>
            <w:rStyle w:val="InternetLink"/>
            <w:color w:val="000000"/>
            <w:sz w:val="28"/>
            <w:szCs w:val="28"/>
            <w:u w:val="none"/>
          </w:rPr>
          <w:t>френска общност</w:t>
        </w:r>
      </w:hyperlink>
      <w:r>
        <w:rPr>
          <w:sz w:val="28"/>
          <w:szCs w:val="28"/>
        </w:rPr>
        <w:t xml:space="preserve"> и </w:t>
      </w:r>
      <w:hyperlink r:id="rId38">
        <w:r>
          <w:rPr>
            <w:rStyle w:val="InternetLink"/>
            <w:color w:val="000000"/>
            <w:sz w:val="28"/>
            <w:szCs w:val="28"/>
            <w:u w:val="none"/>
          </w:rPr>
          <w:t>немски говореща общност,</w:t>
        </w:r>
      </w:hyperlink>
      <w:r>
        <w:rPr>
          <w:sz w:val="28"/>
          <w:szCs w:val="28"/>
        </w:rPr>
        <w:t xml:space="preserve"> а член 3 я разделя на три региона: </w:t>
      </w:r>
      <w:hyperlink r:id="rId39">
        <w:r>
          <w:rPr>
            <w:rStyle w:val="InternetLink"/>
            <w:color w:val="000000"/>
            <w:sz w:val="28"/>
            <w:szCs w:val="28"/>
            <w:u w:val="none"/>
          </w:rPr>
          <w:t>Брюксел</w:t>
        </w:r>
      </w:hyperlink>
      <w:r>
        <w:rPr>
          <w:sz w:val="28"/>
          <w:szCs w:val="28"/>
        </w:rPr>
        <w:t xml:space="preserve"> (предимно нидерландско- и френско-говорещи, с население от 1 000 000 души), </w:t>
      </w:r>
      <w:hyperlink r:id="rId40">
        <w:r>
          <w:rPr>
            <w:rStyle w:val="InternetLink"/>
            <w:color w:val="000000"/>
            <w:sz w:val="28"/>
            <w:szCs w:val="28"/>
            <w:u w:val="none"/>
          </w:rPr>
          <w:t>Фландрия</w:t>
        </w:r>
      </w:hyperlink>
      <w:r>
        <w:rPr>
          <w:sz w:val="28"/>
          <w:szCs w:val="28"/>
        </w:rPr>
        <w:t xml:space="preserve"> (предимно нидерландско-говорещи, с население от 6 000 000 души) и </w:t>
      </w:r>
      <w:hyperlink r:id="rId41">
        <w:r>
          <w:rPr>
            <w:rStyle w:val="InternetLink"/>
            <w:color w:val="000000"/>
            <w:sz w:val="28"/>
            <w:szCs w:val="28"/>
            <w:u w:val="none"/>
          </w:rPr>
          <w:t>Валония</w:t>
        </w:r>
      </w:hyperlink>
      <w:r>
        <w:rPr>
          <w:sz w:val="28"/>
          <w:szCs w:val="28"/>
        </w:rPr>
        <w:t xml:space="preserve"> (предимно френско-говорещи, с население от 3 300 000 души). Последните два региона са разделени на по 5 провинции. Белгия е съставена от петте северни </w:t>
      </w:r>
      <w:hyperlink r:id="rId42">
        <w:r>
          <w:rPr>
            <w:rStyle w:val="InternetLink"/>
            <w:color w:val="000000"/>
            <w:sz w:val="28"/>
            <w:szCs w:val="28"/>
            <w:u w:val="none"/>
          </w:rPr>
          <w:t>нидерландско</w:t>
        </w:r>
      </w:hyperlink>
      <w:r>
        <w:rPr>
          <w:sz w:val="28"/>
          <w:szCs w:val="28"/>
        </w:rPr>
        <w:t xml:space="preserve">-говорещи провинции на </w:t>
      </w:r>
      <w:hyperlink r:id="rId43">
        <w:r>
          <w:rPr>
            <w:rStyle w:val="InternetLink"/>
            <w:color w:val="000000"/>
            <w:sz w:val="28"/>
            <w:szCs w:val="28"/>
            <w:u w:val="none"/>
          </w:rPr>
          <w:t>Фландрия</w:t>
        </w:r>
      </w:hyperlink>
      <w:r>
        <w:rPr>
          <w:sz w:val="28"/>
          <w:szCs w:val="28"/>
        </w:rPr>
        <w:t xml:space="preserve"> (Антверпен, Фламандски Брабант, Западна Фландрия, Източна Фландрия и Лимбург), петте южни </w:t>
      </w:r>
      <w:hyperlink r:id="rId44">
        <w:r>
          <w:rPr>
            <w:rStyle w:val="InternetLink"/>
            <w:color w:val="000000"/>
            <w:sz w:val="28"/>
            <w:szCs w:val="28"/>
            <w:u w:val="none"/>
          </w:rPr>
          <w:t>френско</w:t>
        </w:r>
      </w:hyperlink>
      <w:r>
        <w:rPr>
          <w:sz w:val="28"/>
          <w:szCs w:val="28"/>
        </w:rPr>
        <w:t xml:space="preserve">-говорещи провинции на </w:t>
      </w:r>
      <w:hyperlink r:id="rId45">
        <w:r>
          <w:rPr>
            <w:rStyle w:val="InternetLink"/>
            <w:color w:val="000000"/>
            <w:sz w:val="28"/>
            <w:szCs w:val="28"/>
            <w:u w:val="none"/>
          </w:rPr>
          <w:t>Валония</w:t>
        </w:r>
      </w:hyperlink>
      <w:r>
        <w:rPr>
          <w:sz w:val="28"/>
          <w:szCs w:val="28"/>
        </w:rPr>
        <w:t xml:space="preserve"> (Валонски Брабант, Ено, Лиеж, Люксембург и Намюр) и </w:t>
      </w:r>
      <w:hyperlink r:id="rId46">
        <w:r>
          <w:rPr>
            <w:rStyle w:val="InternetLink"/>
            <w:color w:val="000000"/>
            <w:sz w:val="28"/>
            <w:szCs w:val="28"/>
            <w:u w:val="none"/>
          </w:rPr>
          <w:t>Столичният регион на Брюксел</w:t>
        </w:r>
      </w:hyperlink>
      <w:r>
        <w:rPr>
          <w:sz w:val="28"/>
          <w:szCs w:val="28"/>
        </w:rPr>
        <w:t>.</w:t>
      </w:r>
      <w:r>
        <w:rPr>
          <w:rStyle w:val="Googlesrctext"/>
          <w:sz w:val="28"/>
          <w:szCs w:val="28"/>
        </w:rPr>
        <w:t>.</w:t>
      </w:r>
      <w:r>
        <w:rPr>
          <w:sz w:val="28"/>
          <w:szCs w:val="28"/>
        </w:rPr>
        <w:t xml:space="preserve"> Белгия има четири езикови района: френско говорещ регион, холандска езикова област, двуезичен регион Брюксел и немско езичен регион. Всяка община е част от един от тези езикови региони. Нито един от езиците не е обявен за официален. Границите на държавата, провинциите и </w:t>
      </w:r>
      <w:hyperlink r:id="rId47">
        <w:r>
          <w:rPr>
            <w:rStyle w:val="InternetLink"/>
            <w:color w:val="000000"/>
            <w:sz w:val="28"/>
            <w:szCs w:val="28"/>
            <w:u w:val="none"/>
          </w:rPr>
          <w:t>общините</w:t>
        </w:r>
      </w:hyperlink>
      <w:r>
        <w:rPr>
          <w:sz w:val="28"/>
          <w:szCs w:val="28"/>
        </w:rPr>
        <w:t xml:space="preserve"> могат да бъдат променяни само със закон (чл. 7).</w:t>
      </w:r>
    </w:p>
    <w:p>
      <w:pPr>
        <w:pStyle w:val="NormalWeb"/>
        <w:jc w:val="both"/>
        <w:rPr>
          <w:sz w:val="28"/>
          <w:szCs w:val="28"/>
        </w:rPr>
      </w:pPr>
      <w:r>
        <w:rPr>
          <w:color w:val="000000"/>
          <w:sz w:val="28"/>
          <w:szCs w:val="28"/>
        </w:rPr>
        <w:t xml:space="preserve">   </w:t>
      </w:r>
      <w:r>
        <w:rPr>
          <w:color w:val="000000"/>
          <w:sz w:val="28"/>
          <w:szCs w:val="28"/>
        </w:rPr>
        <w:t>През 2007 г. в белгийската конституция е включен дял 1а, озаглавен "Общи цели на политиката на</w:t>
      </w:r>
      <w:r>
        <w:rPr>
          <w:sz w:val="28"/>
          <w:szCs w:val="28"/>
        </w:rPr>
        <w:t xml:space="preserve"> </w:t>
      </w:r>
      <w:r>
        <w:rPr>
          <w:color w:val="000000"/>
          <w:sz w:val="28"/>
          <w:szCs w:val="28"/>
        </w:rPr>
        <w:t>федерална Белгия; общности и региони", който към днешна дата се състои от само една статия- член</w:t>
      </w:r>
      <w:r>
        <w:rPr>
          <w:sz w:val="28"/>
          <w:szCs w:val="28"/>
        </w:rPr>
        <w:t xml:space="preserve"> </w:t>
      </w:r>
      <w:r>
        <w:rPr>
          <w:color w:val="000000"/>
          <w:sz w:val="28"/>
          <w:szCs w:val="28"/>
        </w:rPr>
        <w:t>7bis. Този член гласи: "</w:t>
      </w:r>
      <w:r>
        <w:rPr>
          <w:sz w:val="28"/>
          <w:szCs w:val="28"/>
        </w:rPr>
        <w:t xml:space="preserve"> При упражняване на своите правомощия федералната държава, общините и регионите имат за цел постигане на устойчиво развитие в неговите социални, икономически и екологични измерения, като се отчита солидарността между поколенията.</w:t>
      </w:r>
      <w:r>
        <w:rPr>
          <w:color w:val="000000"/>
          <w:sz w:val="28"/>
          <w:szCs w:val="28"/>
        </w:rPr>
        <w:t>"</w:t>
      </w:r>
    </w:p>
    <w:p>
      <w:pPr>
        <w:pStyle w:val="Normal"/>
        <w:jc w:val="both"/>
        <w:rPr/>
      </w:pPr>
      <w:r>
        <w:rPr>
          <w:sz w:val="28"/>
          <w:szCs w:val="28"/>
        </w:rPr>
        <w:t xml:space="preserve">   </w:t>
      </w:r>
      <w:r>
        <w:rPr>
          <w:sz w:val="28"/>
          <w:szCs w:val="28"/>
        </w:rPr>
        <w:t>Дял II на белгийската конституция е озаглавен „</w:t>
      </w:r>
      <w:r>
        <w:rPr>
          <w:iCs/>
          <w:sz w:val="28"/>
          <w:szCs w:val="28"/>
        </w:rPr>
        <w:t>Белгийците и техните права”.</w:t>
      </w:r>
      <w:r>
        <w:rPr>
          <w:sz w:val="28"/>
          <w:szCs w:val="28"/>
        </w:rPr>
        <w:t xml:space="preserve"> В този дял са изброени редица права и свободи. Въпреки, че Конституцията говори за правата на белгийците по принцип, те се прилагат за всички лица на белгийска земя. В допълнение към правата, изброени в дял II от Конституцията, белгийците също се ползват от правата, залегнали в Европейската конвенция за правата на човека.</w:t>
      </w:r>
    </w:p>
    <w:p>
      <w:pPr>
        <w:pStyle w:val="NormalWeb"/>
        <w:jc w:val="both"/>
        <w:rPr>
          <w:sz w:val="20"/>
          <w:szCs w:val="20"/>
        </w:rPr>
      </w:pPr>
      <w:r>
        <w:rPr>
          <w:sz w:val="28"/>
          <w:szCs w:val="28"/>
        </w:rPr>
        <w:t xml:space="preserve">   </w:t>
      </w:r>
      <w:r>
        <w:rPr>
          <w:sz w:val="28"/>
          <w:szCs w:val="28"/>
        </w:rPr>
        <w:t>Член 10 определя, че всички белгийци са равни пред закона, а също гарантира и равенството между мъжете и жените. Следващите членове също се отнасят до основни права на белгийските граждани. Те постановяват, че всички права и свободи трябва да бъдат гарантирани без дискриминация, гарантират свободата на личността и постановяват, че никой не може да бъде преследван с изключение на случаите, предвидени в закона и в съответствие с процедурите, установени със закон, както и, че всеки има право да се обърне към съда. Член 14bis е включен в белгийската конституция през 2005 г. и посочва: "Смъртното наказание е премахнато". Посочено е и, че то не може да бъде върнато обратно в сила.</w:t>
      </w:r>
    </w:p>
    <w:p>
      <w:pPr>
        <w:pStyle w:val="NormalWeb"/>
        <w:jc w:val="both"/>
        <w:rPr>
          <w:sz w:val="28"/>
          <w:szCs w:val="28"/>
        </w:rPr>
      </w:pPr>
      <w:r>
        <w:rPr>
          <w:sz w:val="28"/>
          <w:szCs w:val="28"/>
        </w:rPr>
        <w:t xml:space="preserve">   </w:t>
      </w:r>
      <w:r>
        <w:rPr>
          <w:sz w:val="28"/>
          <w:szCs w:val="28"/>
        </w:rPr>
        <w:t>Белгийската конституция регламентира и защита срещу необосновано претърсване. Тя определя, че местоживеенето е неприкосновено и че търсене може да се извършва само в случаите и по начина, който законът предписва. Също така предвижда, че никой не може да бъде лишен от своето имущество, освен когато това е в обществен интерес и в случаите и по начина, който законодателството предвижда.</w:t>
      </w:r>
    </w:p>
    <w:p>
      <w:pPr>
        <w:pStyle w:val="Normal"/>
        <w:jc w:val="both"/>
        <w:rPr>
          <w:color w:val="0000FF"/>
          <w:sz w:val="28"/>
          <w:szCs w:val="28"/>
        </w:rPr>
      </w:pPr>
      <w:r>
        <w:rPr>
          <w:sz w:val="28"/>
          <w:szCs w:val="28"/>
        </w:rPr>
        <w:t xml:space="preserve">    </w:t>
      </w:r>
      <w:r>
        <w:rPr>
          <w:sz w:val="28"/>
          <w:szCs w:val="28"/>
        </w:rPr>
        <w:t xml:space="preserve">Конституцията гарантира още основни права и свободи на белгийските граждани като свобода на религията, свобода на словото, право на зачитане на личния живот и др. Също така се посочва, че нарушенията на тези свободи ще бъдат наказани. </w:t>
      </w:r>
    </w:p>
    <w:p>
      <w:pPr>
        <w:pStyle w:val="NormalWeb"/>
        <w:jc w:val="both"/>
        <w:rPr/>
      </w:pPr>
      <w:r>
        <w:rPr>
          <w:sz w:val="28"/>
          <w:szCs w:val="28"/>
        </w:rPr>
        <w:t xml:space="preserve">   </w:t>
      </w:r>
      <w:r>
        <w:rPr>
          <w:sz w:val="28"/>
          <w:szCs w:val="28"/>
        </w:rPr>
        <w:t>Специален член от Конституцията на Белгия гарантира и  основни права на най-малките белгийски граждани-децата. Член 22а предвижда, че всяко дете има право на зачитане на неговия или нейния "морална, физическа, психическа и сексуална непокътнатост".</w:t>
      </w:r>
    </w:p>
    <w:p>
      <w:pPr>
        <w:pStyle w:val="NormalWeb"/>
        <w:jc w:val="both"/>
        <w:rPr>
          <w:sz w:val="28"/>
          <w:szCs w:val="28"/>
        </w:rPr>
      </w:pPr>
      <w:r>
        <w:rPr>
          <w:sz w:val="28"/>
          <w:szCs w:val="28"/>
        </w:rPr>
        <w:t xml:space="preserve">   </w:t>
      </w:r>
      <w:r>
        <w:rPr>
          <w:sz w:val="28"/>
          <w:szCs w:val="28"/>
        </w:rPr>
        <w:t>Защитава се и правото на белгийците да водят живот в съответствие с човешкото достойнство. Това право включва специално следните права: право на труд и свободен избор на работа, на справедливи условия на труд и справедливо заплащане, както и на правото на информация, консултиране и колективно договаряне; правото на социална сигурност, на здравеопазване и социална, медицинска и правна помощ; правото на прилично жилище; правото на защита на здравословна околна среда, и правото на културното и социалното развитие.</w:t>
      </w:r>
    </w:p>
    <w:p>
      <w:pPr>
        <w:pStyle w:val="NormalWeb"/>
        <w:jc w:val="both"/>
        <w:rPr>
          <w:sz w:val="28"/>
          <w:szCs w:val="28"/>
        </w:rPr>
      </w:pPr>
      <w:r>
        <w:rPr>
          <w:sz w:val="28"/>
          <w:szCs w:val="28"/>
        </w:rPr>
        <w:t xml:space="preserve">   </w:t>
      </w:r>
      <w:r>
        <w:rPr>
          <w:sz w:val="28"/>
          <w:szCs w:val="28"/>
        </w:rPr>
        <w:t>Конституцията регламентира и свободата на пресата и постановява, че цензура не може да бъде установена; защитава свободата на събранията, като определя, че всеки има право да се събират мирно и без оръжие; гарантира свободата на сдружаване и т.н.</w:t>
      </w:r>
    </w:p>
    <w:p>
      <w:pPr>
        <w:pStyle w:val="NormalWeb"/>
        <w:jc w:val="both"/>
        <w:rPr/>
      </w:pPr>
      <w:r>
        <w:rPr>
          <w:sz w:val="28"/>
          <w:szCs w:val="28"/>
        </w:rPr>
        <w:t xml:space="preserve">   </w:t>
      </w:r>
      <w:r>
        <w:rPr>
          <w:sz w:val="28"/>
          <w:szCs w:val="28"/>
        </w:rPr>
        <w:t xml:space="preserve">За нарушаването на всички тези права, заложени в дял </w:t>
      </w:r>
      <w:r>
        <w:rPr>
          <w:sz w:val="28"/>
          <w:szCs w:val="28"/>
          <w:lang w:val="en-US"/>
        </w:rPr>
        <w:t xml:space="preserve">II </w:t>
      </w:r>
      <w:r>
        <w:rPr>
          <w:sz w:val="28"/>
          <w:szCs w:val="28"/>
        </w:rPr>
        <w:t xml:space="preserve">следи белгийският Арбитражен съд, известен сега като Конституционния съд. Той проверява дали закони, постановления и наредби са в съответствие с дял </w:t>
      </w:r>
      <w:r>
        <w:rPr>
          <w:sz w:val="28"/>
          <w:szCs w:val="28"/>
          <w:lang w:val="en-US"/>
        </w:rPr>
        <w:t xml:space="preserve">II, </w:t>
      </w:r>
      <w:r>
        <w:rPr>
          <w:sz w:val="28"/>
          <w:szCs w:val="28"/>
        </w:rPr>
        <w:t>както и за нарушаване на Европейската конвенция за правата на човека.</w:t>
      </w:r>
    </w:p>
    <w:p>
      <w:pPr>
        <w:pStyle w:val="NormalWeb"/>
        <w:jc w:val="both"/>
        <w:rPr/>
      </w:pPr>
      <w:r>
        <w:rPr>
          <w:color w:val="000000"/>
          <w:sz w:val="28"/>
          <w:szCs w:val="28"/>
        </w:rPr>
        <w:t xml:space="preserve">   </w:t>
      </w:r>
      <w:r>
        <w:rPr>
          <w:color w:val="000000"/>
          <w:sz w:val="28"/>
          <w:szCs w:val="28"/>
        </w:rPr>
        <w:t>Основна част от белгийската конституция (Дял III) е</w:t>
      </w:r>
      <w:r>
        <w:rPr>
          <w:sz w:val="28"/>
          <w:szCs w:val="28"/>
        </w:rPr>
        <w:t xml:space="preserve"> </w:t>
      </w:r>
      <w:r>
        <w:rPr>
          <w:color w:val="000000"/>
          <w:sz w:val="28"/>
          <w:szCs w:val="28"/>
        </w:rPr>
        <w:t>посветена на държавното управление</w:t>
      </w:r>
      <w:r>
        <w:rPr>
          <w:i/>
          <w:iCs/>
          <w:color w:val="000000"/>
          <w:sz w:val="28"/>
          <w:szCs w:val="28"/>
        </w:rPr>
        <w:t>.</w:t>
      </w:r>
      <w:r>
        <w:rPr>
          <w:color w:val="000000"/>
          <w:sz w:val="28"/>
          <w:szCs w:val="28"/>
        </w:rPr>
        <w:t xml:space="preserve"> Тя се състои от</w:t>
      </w:r>
      <w:r>
        <w:rPr>
          <w:sz w:val="28"/>
          <w:szCs w:val="28"/>
        </w:rPr>
        <w:t xml:space="preserve"> </w:t>
      </w:r>
      <w:r>
        <w:rPr>
          <w:color w:val="000000"/>
          <w:sz w:val="28"/>
          <w:szCs w:val="28"/>
        </w:rPr>
        <w:t>членове от 33 до 166 и е разделен на осем</w:t>
      </w:r>
      <w:r>
        <w:rPr>
          <w:sz w:val="28"/>
          <w:szCs w:val="28"/>
        </w:rPr>
        <w:t xml:space="preserve"> </w:t>
      </w:r>
      <w:r>
        <w:rPr>
          <w:color w:val="000000"/>
          <w:sz w:val="28"/>
          <w:szCs w:val="28"/>
        </w:rPr>
        <w:t>глави, четири от които се подразделят на</w:t>
      </w:r>
      <w:r>
        <w:rPr>
          <w:sz w:val="28"/>
          <w:szCs w:val="28"/>
        </w:rPr>
        <w:t xml:space="preserve"> </w:t>
      </w:r>
      <w:r>
        <w:rPr>
          <w:color w:val="000000"/>
          <w:sz w:val="28"/>
          <w:szCs w:val="28"/>
        </w:rPr>
        <w:t>няколко секции. Това е най-големият дял</w:t>
      </w:r>
      <w:r>
        <w:rPr>
          <w:sz w:val="28"/>
          <w:szCs w:val="28"/>
        </w:rPr>
        <w:t xml:space="preserve"> </w:t>
      </w:r>
      <w:r>
        <w:rPr>
          <w:color w:val="000000"/>
          <w:sz w:val="28"/>
          <w:szCs w:val="28"/>
        </w:rPr>
        <w:t>от Конституцията. В него белгийската</w:t>
      </w:r>
      <w:r>
        <w:rPr>
          <w:sz w:val="28"/>
          <w:szCs w:val="28"/>
        </w:rPr>
        <w:t xml:space="preserve"> </w:t>
      </w:r>
      <w:r>
        <w:rPr>
          <w:color w:val="000000"/>
          <w:sz w:val="28"/>
          <w:szCs w:val="28"/>
        </w:rPr>
        <w:t>система на управление е очертана в съответствие с принципа на разделение на властите.</w:t>
      </w:r>
      <w:r>
        <w:rPr>
          <w:sz w:val="28"/>
          <w:szCs w:val="28"/>
        </w:rPr>
        <w:t xml:space="preserve"> Властва френският принцип: властта принадлежи на нацията. </w:t>
      </w:r>
      <w:r>
        <w:rPr>
          <w:color w:val="000000"/>
          <w:sz w:val="28"/>
          <w:szCs w:val="28"/>
          <w:lang w:val="en-US"/>
        </w:rPr>
        <w:t xml:space="preserve"> </w:t>
      </w:r>
      <w:r>
        <w:rPr>
          <w:color w:val="000000"/>
          <w:sz w:val="28"/>
          <w:szCs w:val="28"/>
        </w:rPr>
        <w:t xml:space="preserve">Конституцията постановява,че </w:t>
      </w:r>
      <w:r>
        <w:rPr>
          <w:sz w:val="28"/>
          <w:szCs w:val="28"/>
        </w:rPr>
        <w:t xml:space="preserve">цялата власт произтича от народа и се осъществява по начина, установен от Конституцията. </w:t>
      </w:r>
      <w:bookmarkEnd w:id="0"/>
    </w:p>
    <w:p>
      <w:pPr>
        <w:pStyle w:val="Normal"/>
        <w:jc w:val="both"/>
        <w:rPr>
          <w:sz w:val="28"/>
          <w:szCs w:val="28"/>
        </w:rPr>
      </w:pPr>
      <w:r>
        <w:rPr>
          <w:sz w:val="28"/>
          <w:szCs w:val="28"/>
        </w:rPr>
        <w:t xml:space="preserve">   </w:t>
      </w:r>
      <w:r>
        <w:rPr>
          <w:sz w:val="28"/>
          <w:szCs w:val="28"/>
        </w:rPr>
        <w:t>Законодателната власт е предоставена на краля, на Камарата на народните представители и Сената. Въпреки че се посочва, че федералната законодателна власт трябва да се упражнява съвместно от трите му съставни части, на практика се осъществява от федералния парламент, който се състои от Камарата на народните представители и Сената. Само през 1842 и 1884 г. кралят е упражнил право си на вето, каквото обаче има съгласно Конституцията.  Въпреки това все още се изисква законите да бъдат подписвани от Краля.</w:t>
      </w:r>
    </w:p>
    <w:p>
      <w:pPr>
        <w:pStyle w:val="Normal"/>
        <w:jc w:val="both"/>
        <w:rPr/>
      </w:pPr>
      <w:r>
        <w:rPr>
          <w:sz w:val="28"/>
          <w:szCs w:val="28"/>
        </w:rPr>
        <w:t xml:space="preserve">   </w:t>
      </w:r>
      <w:r>
        <w:rPr>
          <w:sz w:val="28"/>
          <w:szCs w:val="28"/>
        </w:rPr>
        <w:t>Съгласно член 37 изпълнителната власт също се упражнява от краля, но на практика тя се упражнява от федералното правителство.</w:t>
      </w:r>
    </w:p>
    <w:p>
      <w:pPr>
        <w:pStyle w:val="Normal"/>
        <w:jc w:val="both"/>
        <w:rPr>
          <w:sz w:val="28"/>
          <w:szCs w:val="28"/>
        </w:rPr>
      </w:pPr>
      <w:r>
        <w:rPr>
          <w:sz w:val="28"/>
          <w:szCs w:val="28"/>
        </w:rPr>
      </w:r>
    </w:p>
    <w:p>
      <w:pPr>
        <w:pStyle w:val="Normal"/>
        <w:jc w:val="both"/>
        <w:rPr>
          <w:sz w:val="28"/>
          <w:szCs w:val="28"/>
        </w:rPr>
      </w:pPr>
      <w:r>
        <w:rPr>
          <w:sz w:val="28"/>
          <w:szCs w:val="28"/>
        </w:rPr>
        <w:t xml:space="preserve">   </w:t>
      </w:r>
      <w:r>
        <w:rPr>
          <w:sz w:val="28"/>
          <w:szCs w:val="28"/>
        </w:rPr>
        <w:t xml:space="preserve">Камарата на представителите включва 150 члена, които се избират по пропорционалната система с подвижна мажоритарна листа. Гласуването в Белгия е задължително. Сенатът се състои от 71 члена: 25 от тях са фламандци, 15 – валонци. По 10 сенатора се избират непряко – от фламандския и валонския съвет и един от германо говорещите. Самата камара включва в своя състав още 10 сенатора – 6 фламандци плюс 4 валонци. </w:t>
        <w:br/>
      </w:r>
    </w:p>
    <w:p>
      <w:pPr>
        <w:pStyle w:val="NormalWeb"/>
        <w:jc w:val="both"/>
        <w:rPr>
          <w:color w:val="FF0000"/>
          <w:sz w:val="28"/>
          <w:szCs w:val="28"/>
        </w:rPr>
      </w:pPr>
      <w:r>
        <w:rPr>
          <w:sz w:val="28"/>
          <w:szCs w:val="28"/>
        </w:rPr>
        <w:t xml:space="preserve">   </w:t>
      </w:r>
      <w:r>
        <w:rPr>
          <w:sz w:val="28"/>
          <w:szCs w:val="28"/>
        </w:rPr>
        <w:t>Членовете на Камарата на представителите и на директно избраните членове на Сената се избират от всички белгийски граждани, които имат навършени 18 години. Всеки гласоподавател има само един глас. По принцип федералните избори се провеждат на всеки 4 години, но е възможно федералния парламент да се разпусне по-рано и да се проведат предсрочни избори. За да може едно лице да бъде избирано, той трябва да има белгийско гражданство, да има навършени най-малко 21 години и да има белгийско местожителство.</w:t>
      </w:r>
      <w:r>
        <w:rPr>
          <w:color w:val="FF0000"/>
          <w:sz w:val="28"/>
          <w:szCs w:val="28"/>
        </w:rPr>
        <w:t xml:space="preserve"> </w:t>
      </w:r>
    </w:p>
    <w:p>
      <w:pPr>
        <w:pStyle w:val="Normal"/>
        <w:jc w:val="both"/>
        <w:rPr/>
      </w:pPr>
      <w:r>
        <w:rPr>
          <w:sz w:val="28"/>
          <w:szCs w:val="28"/>
        </w:rPr>
        <w:t xml:space="preserve">   </w:t>
      </w:r>
      <w:r>
        <w:rPr>
          <w:sz w:val="28"/>
          <w:szCs w:val="28"/>
        </w:rPr>
        <w:t>Правомощията на законодателната власт са описани в отделна глава, посветена на нея. Определени са случаите, в които федералната законодателна власт се упражнява само от краля и от Камарата на представителите, а не от Сената, както и въпросите, по отношение на които Камарата на представителите и на Сената имат равни правомощия. Членове 78 до 83 допълнително урежда още някои отношения между двете части на федералния парламент.</w:t>
      </w:r>
    </w:p>
    <w:p>
      <w:pPr>
        <w:pStyle w:val="NormalWeb"/>
        <w:jc w:val="both"/>
        <w:rPr>
          <w:sz w:val="28"/>
          <w:szCs w:val="28"/>
        </w:rPr>
      </w:pPr>
      <w:r>
        <w:rPr>
          <w:color w:val="000000"/>
          <w:sz w:val="28"/>
          <w:szCs w:val="28"/>
        </w:rPr>
        <w:t xml:space="preserve">   </w:t>
      </w:r>
      <w:r>
        <w:rPr>
          <w:color w:val="000000"/>
          <w:sz w:val="28"/>
          <w:szCs w:val="28"/>
        </w:rPr>
        <w:t>Глава III</w:t>
      </w:r>
      <w:r>
        <w:rPr>
          <w:color w:val="000000"/>
          <w:sz w:val="28"/>
          <w:szCs w:val="28"/>
          <w:lang w:val="en-US"/>
        </w:rPr>
        <w:t xml:space="preserve"> </w:t>
      </w:r>
      <w:r>
        <w:rPr>
          <w:color w:val="000000"/>
          <w:sz w:val="28"/>
          <w:szCs w:val="28"/>
        </w:rPr>
        <w:t xml:space="preserve">от Конституцията е озаглавена </w:t>
      </w:r>
      <w:r>
        <w:rPr>
          <w:iCs/>
          <w:color w:val="000000"/>
          <w:sz w:val="28"/>
          <w:szCs w:val="28"/>
        </w:rPr>
        <w:t>"Кралят и федералното правителство” и се</w:t>
      </w:r>
      <w:r>
        <w:rPr>
          <w:color w:val="000000"/>
          <w:sz w:val="28"/>
          <w:szCs w:val="28"/>
        </w:rPr>
        <w:t xml:space="preserve"> състои</w:t>
      </w:r>
      <w:r>
        <w:rPr>
          <w:sz w:val="28"/>
          <w:szCs w:val="28"/>
        </w:rPr>
        <w:t xml:space="preserve"> </w:t>
      </w:r>
      <w:r>
        <w:rPr>
          <w:color w:val="000000"/>
          <w:sz w:val="28"/>
          <w:szCs w:val="28"/>
        </w:rPr>
        <w:t xml:space="preserve">от членове от 85 до 114. Тя е разделена на три секции. Раздел I, озаглавен </w:t>
      </w:r>
      <w:r>
        <w:rPr>
          <w:iCs/>
          <w:color w:val="000000"/>
          <w:sz w:val="28"/>
          <w:szCs w:val="28"/>
        </w:rPr>
        <w:t>Кралят,</w:t>
      </w:r>
      <w:r>
        <w:rPr>
          <w:color w:val="000000"/>
          <w:sz w:val="28"/>
          <w:szCs w:val="28"/>
        </w:rPr>
        <w:t xml:space="preserve"> установява монархия, метода на наследяване и съдържа разпоредби по</w:t>
      </w:r>
      <w:r>
        <w:rPr>
          <w:sz w:val="28"/>
          <w:szCs w:val="28"/>
        </w:rPr>
        <w:t xml:space="preserve"> </w:t>
      </w:r>
      <w:r>
        <w:rPr>
          <w:color w:val="000000"/>
          <w:sz w:val="28"/>
          <w:szCs w:val="28"/>
        </w:rPr>
        <w:t xml:space="preserve">отношение на регентството. Раздел II, озаглавен </w:t>
      </w:r>
      <w:r>
        <w:rPr>
          <w:iCs/>
          <w:color w:val="000000"/>
          <w:sz w:val="28"/>
          <w:szCs w:val="28"/>
        </w:rPr>
        <w:t>Федералното правителство,</w:t>
      </w:r>
      <w:r>
        <w:rPr>
          <w:sz w:val="28"/>
          <w:szCs w:val="28"/>
        </w:rPr>
        <w:t xml:space="preserve"> </w:t>
      </w:r>
      <w:r>
        <w:rPr>
          <w:color w:val="000000"/>
          <w:sz w:val="28"/>
          <w:szCs w:val="28"/>
        </w:rPr>
        <w:t>установява федерално правителство и начина на назначаването на неговите</w:t>
      </w:r>
      <w:r>
        <w:rPr>
          <w:sz w:val="28"/>
          <w:szCs w:val="28"/>
        </w:rPr>
        <w:t xml:space="preserve"> </w:t>
      </w:r>
      <w:r>
        <w:rPr>
          <w:color w:val="000000"/>
          <w:sz w:val="28"/>
          <w:szCs w:val="28"/>
        </w:rPr>
        <w:t>членове. Раздел III определя конституционните</w:t>
      </w:r>
      <w:r>
        <w:rPr>
          <w:sz w:val="28"/>
          <w:szCs w:val="28"/>
        </w:rPr>
        <w:t xml:space="preserve"> </w:t>
      </w:r>
      <w:r>
        <w:rPr>
          <w:color w:val="000000"/>
          <w:sz w:val="28"/>
          <w:szCs w:val="28"/>
        </w:rPr>
        <w:t>правомощия на краля, които на практика обаче се упражняват от федералното</w:t>
      </w:r>
      <w:r>
        <w:rPr>
          <w:sz w:val="28"/>
          <w:szCs w:val="28"/>
        </w:rPr>
        <w:t xml:space="preserve"> </w:t>
      </w:r>
      <w:r>
        <w:rPr>
          <w:color w:val="000000"/>
          <w:sz w:val="28"/>
          <w:szCs w:val="28"/>
        </w:rPr>
        <w:t>правителство.</w:t>
      </w:r>
    </w:p>
    <w:p>
      <w:pPr>
        <w:pStyle w:val="NormalWeb"/>
        <w:jc w:val="both"/>
        <w:rPr>
          <w:sz w:val="28"/>
          <w:szCs w:val="28"/>
        </w:rPr>
      </w:pPr>
      <w:r>
        <w:rPr>
          <w:color w:val="000000"/>
          <w:sz w:val="28"/>
          <w:szCs w:val="28"/>
        </w:rPr>
        <w:t xml:space="preserve">   </w:t>
      </w:r>
      <w:r>
        <w:rPr>
          <w:color w:val="000000"/>
          <w:sz w:val="28"/>
          <w:szCs w:val="28"/>
        </w:rPr>
        <w:t>Конституционните правомощия на Краля са</w:t>
      </w:r>
      <w:r>
        <w:rPr>
          <w:sz w:val="28"/>
          <w:szCs w:val="28"/>
        </w:rPr>
        <w:t xml:space="preserve"> </w:t>
      </w:r>
      <w:r>
        <w:rPr>
          <w:color w:val="000000"/>
          <w:sz w:val="28"/>
          <w:szCs w:val="28"/>
        </w:rPr>
        <w:t xml:space="preserve">наследствени чрез пряк, естествен и законен произход от крал Леополд I, като се следва принципът на първородството. </w:t>
      </w:r>
    </w:p>
    <w:p>
      <w:pPr>
        <w:pStyle w:val="NormalWeb"/>
        <w:jc w:val="both"/>
        <w:rPr>
          <w:sz w:val="28"/>
          <w:szCs w:val="28"/>
        </w:rPr>
      </w:pPr>
      <w:r>
        <w:rPr>
          <w:color w:val="000000"/>
          <w:sz w:val="28"/>
          <w:szCs w:val="28"/>
        </w:rPr>
        <w:t xml:space="preserve">   </w:t>
      </w:r>
      <w:r>
        <w:rPr>
          <w:color w:val="000000"/>
          <w:sz w:val="28"/>
          <w:szCs w:val="28"/>
        </w:rPr>
        <w:t>Предвижда се още, че потомък, който се омъжва без</w:t>
      </w:r>
      <w:r>
        <w:rPr>
          <w:sz w:val="28"/>
          <w:szCs w:val="28"/>
        </w:rPr>
        <w:t xml:space="preserve"> </w:t>
      </w:r>
      <w:r>
        <w:rPr>
          <w:color w:val="000000"/>
          <w:sz w:val="28"/>
          <w:szCs w:val="28"/>
        </w:rPr>
        <w:t>съгласието на царя е лишен от правата си на короната. Тези, които губят правото си на короната по този начин, могат да бъдат възстановени по</w:t>
      </w:r>
      <w:r>
        <w:rPr>
          <w:sz w:val="28"/>
          <w:szCs w:val="28"/>
        </w:rPr>
        <w:t xml:space="preserve"> </w:t>
      </w:r>
      <w:r>
        <w:rPr>
          <w:color w:val="000000"/>
          <w:sz w:val="28"/>
          <w:szCs w:val="28"/>
        </w:rPr>
        <w:t xml:space="preserve">линията на приемственост със съгласието на двете камари на федералния парламент. </w:t>
      </w:r>
    </w:p>
    <w:p>
      <w:pPr>
        <w:pStyle w:val="NormalWeb"/>
        <w:jc w:val="both"/>
        <w:rPr>
          <w:color w:val="000000"/>
          <w:sz w:val="28"/>
          <w:szCs w:val="28"/>
        </w:rPr>
      </w:pPr>
      <w:r>
        <w:rPr>
          <w:color w:val="000000"/>
          <w:sz w:val="28"/>
          <w:szCs w:val="28"/>
        </w:rPr>
        <w:t xml:space="preserve">   </w:t>
      </w:r>
      <w:r>
        <w:rPr>
          <w:color w:val="000000"/>
          <w:sz w:val="28"/>
          <w:szCs w:val="28"/>
        </w:rPr>
        <w:t>В случаите, при които липсват потомци на крал Леополд I, приемникът на короната се определя със</w:t>
      </w:r>
      <w:r>
        <w:rPr>
          <w:sz w:val="28"/>
          <w:szCs w:val="28"/>
        </w:rPr>
        <w:t xml:space="preserve"> </w:t>
      </w:r>
      <w:r>
        <w:rPr>
          <w:color w:val="000000"/>
          <w:sz w:val="28"/>
          <w:szCs w:val="28"/>
        </w:rPr>
        <w:t>съгласието на двете камари на федералния парламент. Това съгласие изисква кворум от най-малко две трети от членовете. В случай че не е бил назначен наследник по този начин, престолът е</w:t>
      </w:r>
      <w:r>
        <w:rPr>
          <w:sz w:val="28"/>
          <w:szCs w:val="28"/>
        </w:rPr>
        <w:t xml:space="preserve"> </w:t>
      </w:r>
      <w:r>
        <w:rPr>
          <w:color w:val="000000"/>
          <w:sz w:val="28"/>
          <w:szCs w:val="28"/>
        </w:rPr>
        <w:t>вакантен и се</w:t>
      </w:r>
      <w:r>
        <w:rPr>
          <w:sz w:val="28"/>
          <w:szCs w:val="28"/>
        </w:rPr>
        <w:t xml:space="preserve"> </w:t>
      </w:r>
      <w:r>
        <w:rPr>
          <w:color w:val="000000"/>
          <w:sz w:val="28"/>
          <w:szCs w:val="28"/>
        </w:rPr>
        <w:t>предоставя временно на регентството. Регенство се предоставя и в случаите, при които наследник на трона е малолетен или в случай, че кралят не е в</w:t>
      </w:r>
      <w:r>
        <w:rPr>
          <w:sz w:val="28"/>
          <w:szCs w:val="28"/>
        </w:rPr>
        <w:t xml:space="preserve"> </w:t>
      </w:r>
      <w:r>
        <w:rPr>
          <w:color w:val="000000"/>
          <w:sz w:val="28"/>
          <w:szCs w:val="28"/>
        </w:rPr>
        <w:t xml:space="preserve">състояние да управлява. Регентството може да се предостави само на един човек, който може да поеме длъжността след полагане на конституционна клетва. </w:t>
      </w:r>
    </w:p>
    <w:p>
      <w:pPr>
        <w:pStyle w:val="NormalWeb"/>
        <w:jc w:val="both"/>
        <w:rPr>
          <w:sz w:val="28"/>
          <w:szCs w:val="28"/>
        </w:rPr>
      </w:pPr>
      <w:r>
        <w:rPr>
          <w:sz w:val="28"/>
          <w:szCs w:val="28"/>
        </w:rPr>
        <w:t xml:space="preserve">   </w:t>
      </w:r>
      <w:r>
        <w:rPr>
          <w:sz w:val="28"/>
          <w:szCs w:val="28"/>
        </w:rPr>
        <w:t>Фигурата  на Краля е неприкосновена. Отговорност носят министрите.</w:t>
      </w:r>
    </w:p>
    <w:p>
      <w:pPr>
        <w:pStyle w:val="NormalWeb"/>
        <w:jc w:val="both"/>
        <w:rPr>
          <w:sz w:val="28"/>
          <w:szCs w:val="28"/>
        </w:rPr>
      </w:pPr>
      <w:r>
        <w:rPr>
          <w:color w:val="000000"/>
          <w:sz w:val="28"/>
          <w:szCs w:val="28"/>
        </w:rPr>
        <w:t xml:space="preserve">   </w:t>
      </w:r>
      <w:r>
        <w:rPr>
          <w:color w:val="000000"/>
          <w:sz w:val="28"/>
          <w:szCs w:val="28"/>
        </w:rPr>
        <w:t>В съответствие с член 87 от Конституцията, кралят не може едновременно да бъде държавен глава на</w:t>
      </w:r>
      <w:r>
        <w:rPr>
          <w:sz w:val="28"/>
          <w:szCs w:val="28"/>
        </w:rPr>
        <w:t xml:space="preserve"> </w:t>
      </w:r>
      <w:r>
        <w:rPr>
          <w:color w:val="000000"/>
          <w:sz w:val="28"/>
          <w:szCs w:val="28"/>
        </w:rPr>
        <w:t>друга страна без съгласието на двете камари на федералния парламент. Тази статия е била</w:t>
      </w:r>
      <w:r>
        <w:rPr>
          <w:sz w:val="28"/>
          <w:szCs w:val="28"/>
        </w:rPr>
        <w:t xml:space="preserve"> </w:t>
      </w:r>
      <w:r>
        <w:rPr>
          <w:color w:val="000000"/>
          <w:sz w:val="28"/>
          <w:szCs w:val="28"/>
        </w:rPr>
        <w:t>използвана само веднъж- през 1885 г., когато крал Леополд II става суверенен владетел</w:t>
      </w:r>
      <w:r>
        <w:rPr>
          <w:sz w:val="28"/>
          <w:szCs w:val="28"/>
        </w:rPr>
        <w:t xml:space="preserve"> на </w:t>
      </w:r>
      <w:r>
        <w:rPr>
          <w:color w:val="000000"/>
          <w:sz w:val="28"/>
          <w:szCs w:val="28"/>
        </w:rPr>
        <w:t>държавата Конго.</w:t>
      </w:r>
    </w:p>
    <w:p>
      <w:pPr>
        <w:pStyle w:val="NormalWeb"/>
        <w:jc w:val="both"/>
        <w:rPr/>
      </w:pPr>
      <w:r>
        <w:rPr>
          <w:color w:val="000000"/>
          <w:sz w:val="28"/>
          <w:szCs w:val="28"/>
        </w:rPr>
        <w:t xml:space="preserve">   </w:t>
      </w:r>
      <w:r>
        <w:rPr>
          <w:color w:val="000000"/>
          <w:sz w:val="28"/>
          <w:szCs w:val="28"/>
        </w:rPr>
        <w:t>Конституцията урежда и състава и функционирането на федералното правителство. Кралят назначава и освобождава министрите. По-нататък се предвижда, че</w:t>
      </w:r>
      <w:r>
        <w:rPr>
          <w:sz w:val="28"/>
          <w:szCs w:val="28"/>
        </w:rPr>
        <w:t xml:space="preserve"> </w:t>
      </w:r>
      <w:r>
        <w:rPr>
          <w:color w:val="000000"/>
          <w:sz w:val="28"/>
          <w:szCs w:val="28"/>
        </w:rPr>
        <w:t xml:space="preserve">федералното правителство </w:t>
      </w:r>
      <w:r>
        <w:rPr>
          <w:sz w:val="28"/>
          <w:szCs w:val="28"/>
        </w:rPr>
        <w:t>е длъжно да подаде своята оставка на Краля, когато Камарата на Представителите, с пълно мнозинство на членовете си, гласува вот на недоверие на правителството. След това в определен срок Кралят разглежда предложението за наследник на премиера и го назначава.</w:t>
      </w:r>
    </w:p>
    <w:p>
      <w:pPr>
        <w:pStyle w:val="NormalWeb"/>
        <w:jc w:val="both"/>
        <w:rPr/>
      </w:pPr>
      <w:r>
        <w:rPr>
          <w:sz w:val="28"/>
          <w:szCs w:val="28"/>
        </w:rPr>
        <w:t xml:space="preserve">   </w:t>
      </w:r>
      <w:r>
        <w:rPr>
          <w:sz w:val="28"/>
          <w:szCs w:val="28"/>
        </w:rPr>
        <w:t xml:space="preserve">Само белгийски граждани могат да бъдат министри. Никой от членовете на белгийското кралско семейство обаче не може да бъде министър. Съветът на министрите не може да има повече от 15 членове и той трябва да включва колкото немско-говорещи, толкова и френско-говорещи членове. Раздел III се занимава с компетенциите и правомощията на краля, които на практика се упражняват от федералното правителство. Член 105 изрично определя, че Кралят няма правомощия, различни от тези, които изрично са му  дадени от Конституцията и законите, приети съгласно нея. </w:t>
      </w:r>
    </w:p>
    <w:p>
      <w:pPr>
        <w:pStyle w:val="Normal"/>
        <w:jc w:val="both"/>
        <w:rPr/>
      </w:pPr>
      <w:r>
        <w:rPr>
          <w:color w:val="000000"/>
          <w:sz w:val="28"/>
          <w:szCs w:val="28"/>
        </w:rPr>
        <w:t xml:space="preserve">   </w:t>
      </w:r>
      <w:r>
        <w:rPr>
          <w:color w:val="000000"/>
          <w:sz w:val="28"/>
          <w:szCs w:val="28"/>
        </w:rPr>
        <w:t>Нито един акт на краля няма да има ефект, ако не е подписан от министър,</w:t>
      </w:r>
      <w:r>
        <w:rPr>
          <w:sz w:val="28"/>
          <w:szCs w:val="28"/>
        </w:rPr>
        <w:t xml:space="preserve"> </w:t>
      </w:r>
      <w:r>
        <w:rPr>
          <w:color w:val="000000"/>
          <w:sz w:val="28"/>
          <w:szCs w:val="28"/>
        </w:rPr>
        <w:t>който по този начин поема отговорността за деянието. Това означава, че не кралят, а</w:t>
      </w:r>
      <w:r>
        <w:rPr>
          <w:sz w:val="28"/>
          <w:szCs w:val="28"/>
        </w:rPr>
        <w:t xml:space="preserve"> </w:t>
      </w:r>
      <w:r>
        <w:rPr>
          <w:color w:val="000000"/>
          <w:sz w:val="28"/>
          <w:szCs w:val="28"/>
        </w:rPr>
        <w:t>министърът е отговорен за тези действия. Това е пряк резултат от неприкосновеността на личността на</w:t>
      </w:r>
      <w:r>
        <w:rPr>
          <w:sz w:val="28"/>
          <w:szCs w:val="28"/>
        </w:rPr>
        <w:t xml:space="preserve"> </w:t>
      </w:r>
      <w:r>
        <w:rPr>
          <w:color w:val="000000"/>
          <w:sz w:val="28"/>
          <w:szCs w:val="28"/>
        </w:rPr>
        <w:t>краля, който е създаден съгласно член 88, и на принципа на отговорност на министрите, който е създаден</w:t>
      </w:r>
      <w:r>
        <w:rPr>
          <w:sz w:val="28"/>
          <w:szCs w:val="28"/>
        </w:rPr>
        <w:t xml:space="preserve"> </w:t>
      </w:r>
      <w:r>
        <w:rPr>
          <w:color w:val="000000"/>
          <w:sz w:val="28"/>
          <w:szCs w:val="28"/>
        </w:rPr>
        <w:t>съгласно член 101.</w:t>
      </w:r>
    </w:p>
    <w:p>
      <w:pPr>
        <w:pStyle w:val="NormalWeb"/>
        <w:jc w:val="both"/>
        <w:rPr>
          <w:sz w:val="28"/>
          <w:szCs w:val="28"/>
        </w:rPr>
      </w:pPr>
      <w:r>
        <w:rPr>
          <w:color w:val="000000"/>
          <w:sz w:val="28"/>
          <w:szCs w:val="28"/>
        </w:rPr>
        <w:t xml:space="preserve">   </w:t>
      </w:r>
      <w:r>
        <w:rPr>
          <w:color w:val="000000"/>
          <w:sz w:val="28"/>
          <w:szCs w:val="28"/>
        </w:rPr>
        <w:t xml:space="preserve">Дял IV е посветен на  </w:t>
      </w:r>
      <w:r>
        <w:rPr>
          <w:iCs/>
          <w:color w:val="000000"/>
          <w:sz w:val="28"/>
          <w:szCs w:val="28"/>
        </w:rPr>
        <w:t>общностите и регионите и</w:t>
      </w:r>
      <w:r>
        <w:rPr>
          <w:color w:val="000000"/>
          <w:sz w:val="28"/>
          <w:szCs w:val="28"/>
        </w:rPr>
        <w:t xml:space="preserve"> съдържа членове от 115 до 140. Той е разделен на</w:t>
      </w:r>
      <w:r>
        <w:rPr>
          <w:sz w:val="28"/>
          <w:szCs w:val="28"/>
        </w:rPr>
        <w:t xml:space="preserve"> </w:t>
      </w:r>
      <w:r>
        <w:rPr>
          <w:color w:val="000000"/>
          <w:sz w:val="28"/>
          <w:szCs w:val="28"/>
        </w:rPr>
        <w:t>две части, които на свой ред са разделени на подраздели. Раздел I, е озаглавен „</w:t>
      </w:r>
      <w:r>
        <w:rPr>
          <w:iCs/>
          <w:color w:val="000000"/>
          <w:sz w:val="28"/>
          <w:szCs w:val="28"/>
        </w:rPr>
        <w:t>Органи”</w:t>
      </w:r>
      <w:r>
        <w:rPr>
          <w:color w:val="000000"/>
          <w:sz w:val="28"/>
          <w:szCs w:val="28"/>
        </w:rPr>
        <w:t xml:space="preserve"> и урежда органите</w:t>
      </w:r>
      <w:r>
        <w:rPr>
          <w:sz w:val="28"/>
          <w:szCs w:val="28"/>
        </w:rPr>
        <w:t xml:space="preserve"> </w:t>
      </w:r>
      <w:r>
        <w:rPr>
          <w:color w:val="000000"/>
          <w:sz w:val="28"/>
          <w:szCs w:val="28"/>
        </w:rPr>
        <w:t>на Общностите и на регионите и тяхното функциониране. Раздел II е</w:t>
      </w:r>
      <w:r>
        <w:rPr>
          <w:sz w:val="28"/>
          <w:szCs w:val="28"/>
        </w:rPr>
        <w:t xml:space="preserve"> </w:t>
      </w:r>
      <w:r>
        <w:rPr>
          <w:color w:val="000000"/>
          <w:sz w:val="28"/>
          <w:szCs w:val="28"/>
        </w:rPr>
        <w:t>озаглавен „</w:t>
      </w:r>
      <w:r>
        <w:rPr>
          <w:iCs/>
          <w:color w:val="000000"/>
          <w:sz w:val="28"/>
          <w:szCs w:val="28"/>
        </w:rPr>
        <w:t>Компетенциите”</w:t>
      </w:r>
      <w:r>
        <w:rPr>
          <w:color w:val="000000"/>
          <w:sz w:val="28"/>
          <w:szCs w:val="28"/>
        </w:rPr>
        <w:t xml:space="preserve"> и допълнително определя правомощията и отговорностите на общностите и</w:t>
      </w:r>
      <w:r>
        <w:rPr>
          <w:sz w:val="28"/>
          <w:szCs w:val="28"/>
        </w:rPr>
        <w:t xml:space="preserve"> </w:t>
      </w:r>
      <w:r>
        <w:rPr>
          <w:color w:val="000000"/>
          <w:sz w:val="28"/>
          <w:szCs w:val="28"/>
        </w:rPr>
        <w:t xml:space="preserve">регионите. </w:t>
      </w:r>
    </w:p>
    <w:p>
      <w:pPr>
        <w:pStyle w:val="NormalWeb"/>
        <w:jc w:val="both"/>
        <w:rPr>
          <w:sz w:val="28"/>
          <w:szCs w:val="28"/>
        </w:rPr>
      </w:pPr>
      <w:r>
        <w:rPr>
          <w:color w:val="000000"/>
          <w:sz w:val="28"/>
          <w:szCs w:val="28"/>
        </w:rPr>
        <w:t xml:space="preserve">   </w:t>
      </w:r>
      <w:r>
        <w:rPr>
          <w:color w:val="000000"/>
          <w:sz w:val="28"/>
          <w:szCs w:val="28"/>
        </w:rPr>
        <w:t>Член 115 от раздел I създава парламента на фламандската общност, известен като Фламандския</w:t>
      </w:r>
      <w:r>
        <w:rPr>
          <w:sz w:val="28"/>
          <w:szCs w:val="28"/>
        </w:rPr>
        <w:t xml:space="preserve"> </w:t>
      </w:r>
      <w:r>
        <w:rPr>
          <w:color w:val="000000"/>
          <w:sz w:val="28"/>
          <w:szCs w:val="28"/>
        </w:rPr>
        <w:t>парламент, парламента на френската общност и парламента на немско-езичната общност.</w:t>
      </w:r>
      <w:r>
        <w:rPr>
          <w:sz w:val="28"/>
          <w:szCs w:val="28"/>
        </w:rPr>
        <w:t xml:space="preserve"> </w:t>
      </w:r>
      <w:r>
        <w:rPr>
          <w:color w:val="000000"/>
          <w:sz w:val="28"/>
          <w:szCs w:val="28"/>
        </w:rPr>
        <w:t>По-нататък се предвижда, че трябва да има парламент за всеки регион, което води до Парламента на</w:t>
      </w:r>
      <w:r>
        <w:rPr>
          <w:sz w:val="28"/>
          <w:szCs w:val="28"/>
        </w:rPr>
        <w:t xml:space="preserve"> </w:t>
      </w:r>
      <w:r>
        <w:rPr>
          <w:color w:val="000000"/>
          <w:sz w:val="28"/>
          <w:szCs w:val="28"/>
        </w:rPr>
        <w:t>Валония и Брюксел парламент. Фламандския парламент упражнява компетенциите на</w:t>
      </w:r>
      <w:r>
        <w:rPr>
          <w:sz w:val="28"/>
          <w:szCs w:val="28"/>
        </w:rPr>
        <w:t xml:space="preserve"> </w:t>
      </w:r>
      <w:r>
        <w:rPr>
          <w:color w:val="000000"/>
          <w:sz w:val="28"/>
          <w:szCs w:val="28"/>
        </w:rPr>
        <w:t>парламент на фламандската общност и на парламент на Фламандския регион. Членовете на парламентите на всяка общност трябва да се избират пряко от тази общност. Същото се отнася и до регионалните</w:t>
      </w:r>
      <w:r>
        <w:rPr>
          <w:sz w:val="28"/>
          <w:szCs w:val="28"/>
        </w:rPr>
        <w:t xml:space="preserve"> </w:t>
      </w:r>
      <w:r>
        <w:rPr>
          <w:color w:val="000000"/>
          <w:sz w:val="28"/>
          <w:szCs w:val="28"/>
        </w:rPr>
        <w:t>парламенти.</w:t>
      </w:r>
    </w:p>
    <w:p>
      <w:pPr>
        <w:pStyle w:val="NormalWeb"/>
        <w:jc w:val="both"/>
        <w:rPr>
          <w:sz w:val="28"/>
          <w:szCs w:val="28"/>
        </w:rPr>
      </w:pPr>
      <w:r>
        <w:rPr>
          <w:color w:val="000000"/>
          <w:sz w:val="28"/>
          <w:szCs w:val="28"/>
        </w:rPr>
        <w:t xml:space="preserve">   </w:t>
      </w:r>
      <w:r>
        <w:rPr>
          <w:color w:val="000000"/>
          <w:sz w:val="28"/>
          <w:szCs w:val="28"/>
        </w:rPr>
        <w:t>Членовете на общностните и регионалните парламенти се избират за мандат от 5 години и в съответствие</w:t>
      </w:r>
      <w:r>
        <w:rPr>
          <w:sz w:val="28"/>
          <w:szCs w:val="28"/>
        </w:rPr>
        <w:t xml:space="preserve"> </w:t>
      </w:r>
      <w:r>
        <w:rPr>
          <w:color w:val="000000"/>
          <w:sz w:val="28"/>
          <w:szCs w:val="28"/>
        </w:rPr>
        <w:t>с член 117 от Конституцията. Член 119 предвижда, че</w:t>
      </w:r>
      <w:r>
        <w:rPr>
          <w:sz w:val="28"/>
          <w:szCs w:val="28"/>
        </w:rPr>
        <w:t xml:space="preserve"> </w:t>
      </w:r>
      <w:r>
        <w:rPr>
          <w:color w:val="000000"/>
          <w:sz w:val="28"/>
          <w:szCs w:val="28"/>
        </w:rPr>
        <w:t>член на парламента от една общност или регион не може да бъде член на федералния парламент в</w:t>
      </w:r>
      <w:r>
        <w:rPr>
          <w:sz w:val="28"/>
          <w:szCs w:val="28"/>
        </w:rPr>
        <w:t xml:space="preserve"> </w:t>
      </w:r>
      <w:r>
        <w:rPr>
          <w:color w:val="000000"/>
          <w:sz w:val="28"/>
          <w:szCs w:val="28"/>
        </w:rPr>
        <w:t>същото време. Единственото изключение са сенаторите, които представляват в парламента</w:t>
      </w:r>
      <w:r>
        <w:rPr>
          <w:sz w:val="28"/>
          <w:szCs w:val="28"/>
        </w:rPr>
        <w:t xml:space="preserve"> </w:t>
      </w:r>
      <w:r>
        <w:rPr>
          <w:color w:val="000000"/>
          <w:sz w:val="28"/>
          <w:szCs w:val="28"/>
        </w:rPr>
        <w:t>тяхната общност или регион в Сената. Конституцията  предоставя на членовете на общностните и</w:t>
      </w:r>
      <w:r>
        <w:rPr>
          <w:sz w:val="28"/>
          <w:szCs w:val="28"/>
        </w:rPr>
        <w:t xml:space="preserve"> </w:t>
      </w:r>
      <w:r>
        <w:rPr>
          <w:color w:val="000000"/>
          <w:sz w:val="28"/>
          <w:szCs w:val="28"/>
        </w:rPr>
        <w:t>регионалните парламенти същия парламентарен имунитет, какъвто притежават и членовете на федералния парламент.</w:t>
      </w:r>
    </w:p>
    <w:p>
      <w:pPr>
        <w:pStyle w:val="NormalWeb"/>
        <w:jc w:val="both"/>
        <w:rPr>
          <w:sz w:val="28"/>
          <w:szCs w:val="28"/>
        </w:rPr>
      </w:pPr>
      <w:r>
        <w:rPr>
          <w:color w:val="000000"/>
          <w:sz w:val="28"/>
          <w:szCs w:val="28"/>
        </w:rPr>
        <w:t xml:space="preserve">   </w:t>
      </w:r>
      <w:r>
        <w:rPr>
          <w:color w:val="000000"/>
          <w:sz w:val="28"/>
          <w:szCs w:val="28"/>
        </w:rPr>
        <w:t>Раздел II определя правомощията и отговорностите на общностите и регионите.</w:t>
      </w:r>
      <w:r>
        <w:rPr>
          <w:color w:val="000000"/>
          <w:sz w:val="28"/>
          <w:szCs w:val="28"/>
          <w:lang w:val="en-US"/>
        </w:rPr>
        <w:t xml:space="preserve"> </w:t>
      </w:r>
      <w:r>
        <w:rPr>
          <w:color w:val="000000"/>
          <w:sz w:val="28"/>
          <w:szCs w:val="28"/>
        </w:rPr>
        <w:t>Предвижда се, че фламандският парламент и парламента на френската общност са отговорни за областите</w:t>
      </w:r>
      <w:r>
        <w:rPr>
          <w:sz w:val="28"/>
          <w:szCs w:val="28"/>
        </w:rPr>
        <w:t xml:space="preserve"> </w:t>
      </w:r>
      <w:r>
        <w:rPr>
          <w:color w:val="000000"/>
          <w:sz w:val="28"/>
          <w:szCs w:val="28"/>
        </w:rPr>
        <w:t>на културата и образованието. Извън границите им на компетентност обаче остават въпросите, свързани</w:t>
      </w:r>
      <w:r>
        <w:rPr>
          <w:sz w:val="28"/>
          <w:szCs w:val="28"/>
        </w:rPr>
        <w:t xml:space="preserve"> с </w:t>
      </w:r>
      <w:r>
        <w:rPr>
          <w:color w:val="000000"/>
          <w:sz w:val="28"/>
          <w:szCs w:val="28"/>
        </w:rPr>
        <w:t>определяне на възрастта, на която започва и завършва задължителното образование,</w:t>
      </w:r>
      <w:r>
        <w:rPr>
          <w:sz w:val="28"/>
          <w:szCs w:val="28"/>
        </w:rPr>
        <w:t xml:space="preserve"> минималните стандарти за предоставяне на дипломи,</w:t>
      </w:r>
      <w:r>
        <w:rPr>
          <w:color w:val="000000"/>
          <w:sz w:val="28"/>
          <w:szCs w:val="28"/>
        </w:rPr>
        <w:t xml:space="preserve"> минималните условия</w:t>
      </w:r>
      <w:r>
        <w:rPr>
          <w:sz w:val="28"/>
          <w:szCs w:val="28"/>
        </w:rPr>
        <w:t xml:space="preserve"> </w:t>
      </w:r>
      <w:r>
        <w:rPr>
          <w:color w:val="000000"/>
          <w:sz w:val="28"/>
          <w:szCs w:val="28"/>
        </w:rPr>
        <w:t xml:space="preserve">за присъждането на научни степени и </w:t>
      </w:r>
      <w:r>
        <w:rPr>
          <w:sz w:val="28"/>
          <w:szCs w:val="28"/>
        </w:rPr>
        <w:t>определянето на пенсиите</w:t>
      </w:r>
      <w:r>
        <w:rPr>
          <w:color w:val="000000"/>
          <w:sz w:val="28"/>
          <w:szCs w:val="28"/>
        </w:rPr>
        <w:t>. В допълнение фламандският парламент и парламента на френската общност също са отговорни за сътрудничеството</w:t>
      </w:r>
      <w:r>
        <w:rPr>
          <w:sz w:val="28"/>
          <w:szCs w:val="28"/>
        </w:rPr>
        <w:t xml:space="preserve"> </w:t>
      </w:r>
      <w:r>
        <w:rPr>
          <w:color w:val="000000"/>
          <w:sz w:val="28"/>
          <w:szCs w:val="28"/>
        </w:rPr>
        <w:t>между общностите и имат властта да се договарят по отношение на тяхната компетентност.</w:t>
      </w:r>
    </w:p>
    <w:p>
      <w:pPr>
        <w:pStyle w:val="NormalWeb"/>
        <w:jc w:val="both"/>
        <w:rPr>
          <w:sz w:val="28"/>
          <w:szCs w:val="28"/>
        </w:rPr>
      </w:pPr>
      <w:r>
        <w:rPr>
          <w:color w:val="000000"/>
          <w:sz w:val="28"/>
          <w:szCs w:val="28"/>
        </w:rPr>
        <w:t xml:space="preserve">   </w:t>
      </w:r>
      <w:r>
        <w:rPr>
          <w:color w:val="000000"/>
          <w:sz w:val="28"/>
          <w:szCs w:val="28"/>
        </w:rPr>
        <w:t>Фламандският парламент и парламента на френската общност също са</w:t>
      </w:r>
      <w:r>
        <w:rPr>
          <w:sz w:val="28"/>
          <w:szCs w:val="28"/>
        </w:rPr>
        <w:t xml:space="preserve"> </w:t>
      </w:r>
      <w:r>
        <w:rPr>
          <w:color w:val="000000"/>
          <w:sz w:val="28"/>
          <w:szCs w:val="28"/>
        </w:rPr>
        <w:t>отговорни за законодателството по отношение на използването на различни езици в администрацията и</w:t>
      </w:r>
      <w:r>
        <w:rPr>
          <w:sz w:val="28"/>
          <w:szCs w:val="28"/>
        </w:rPr>
        <w:t xml:space="preserve"> </w:t>
      </w:r>
      <w:r>
        <w:rPr>
          <w:color w:val="000000"/>
          <w:sz w:val="28"/>
          <w:szCs w:val="28"/>
        </w:rPr>
        <w:t>провеждането на официалния бизнес, в образованието и в отношенията между работодатели и техния</w:t>
      </w:r>
      <w:r>
        <w:rPr>
          <w:sz w:val="28"/>
          <w:szCs w:val="28"/>
        </w:rPr>
        <w:t xml:space="preserve"> </w:t>
      </w:r>
      <w:r>
        <w:rPr>
          <w:color w:val="000000"/>
          <w:sz w:val="28"/>
          <w:szCs w:val="28"/>
        </w:rPr>
        <w:t>персонал. Тези правомощия обаче са отпуснати в определени граници . Те не могат да приемат законодателство по отношение на използването</w:t>
      </w:r>
      <w:r>
        <w:rPr>
          <w:sz w:val="28"/>
          <w:szCs w:val="28"/>
        </w:rPr>
        <w:t xml:space="preserve"> </w:t>
      </w:r>
      <w:r>
        <w:rPr>
          <w:color w:val="000000"/>
          <w:sz w:val="28"/>
          <w:szCs w:val="28"/>
        </w:rPr>
        <w:t>на езиците в случаите, които са в компетентността на федералния парламент.</w:t>
      </w:r>
    </w:p>
    <w:p>
      <w:pPr>
        <w:pStyle w:val="NormalWeb"/>
        <w:jc w:val="both"/>
        <w:rPr>
          <w:sz w:val="28"/>
          <w:szCs w:val="28"/>
        </w:rPr>
      </w:pPr>
      <w:r>
        <w:rPr>
          <w:color w:val="000000"/>
          <w:sz w:val="28"/>
          <w:szCs w:val="28"/>
        </w:rPr>
        <w:t xml:space="preserve">   </w:t>
      </w:r>
      <w:r>
        <w:rPr>
          <w:color w:val="000000"/>
          <w:sz w:val="28"/>
          <w:szCs w:val="28"/>
        </w:rPr>
        <w:t>Определени са и правомощията на Парламента на немско-езичната общност. Той е отговорен за културните въпроси, въпросите, свързани с</w:t>
      </w:r>
      <w:r>
        <w:rPr>
          <w:sz w:val="28"/>
          <w:szCs w:val="28"/>
        </w:rPr>
        <w:t xml:space="preserve"> </w:t>
      </w:r>
      <w:r>
        <w:rPr>
          <w:color w:val="000000"/>
          <w:sz w:val="28"/>
          <w:szCs w:val="28"/>
        </w:rPr>
        <w:t>личността и образованието, със сътрудничеството</w:t>
      </w:r>
      <w:r>
        <w:rPr>
          <w:sz w:val="28"/>
          <w:szCs w:val="28"/>
        </w:rPr>
        <w:t xml:space="preserve"> </w:t>
      </w:r>
      <w:r>
        <w:rPr>
          <w:color w:val="000000"/>
          <w:sz w:val="28"/>
          <w:szCs w:val="28"/>
        </w:rPr>
        <w:t>между общностите и международното сътрудничество- при същите условия като другите общностни парламенти. За разлика от</w:t>
      </w:r>
      <w:r>
        <w:rPr>
          <w:sz w:val="28"/>
          <w:szCs w:val="28"/>
        </w:rPr>
        <w:t xml:space="preserve"> </w:t>
      </w:r>
      <w:r>
        <w:rPr>
          <w:color w:val="000000"/>
          <w:sz w:val="28"/>
          <w:szCs w:val="28"/>
        </w:rPr>
        <w:t>другите общности обаче, законите, касаещи компетенциите на немско-говорещата общност, не изискват</w:t>
      </w:r>
      <w:r>
        <w:rPr>
          <w:sz w:val="28"/>
          <w:szCs w:val="28"/>
        </w:rPr>
        <w:t xml:space="preserve"> </w:t>
      </w:r>
      <w:r>
        <w:rPr>
          <w:color w:val="000000"/>
          <w:sz w:val="28"/>
          <w:szCs w:val="28"/>
        </w:rPr>
        <w:t>специално мнозинство във федералния парламент.</w:t>
      </w:r>
    </w:p>
    <w:p>
      <w:pPr>
        <w:pStyle w:val="NormalWeb"/>
        <w:jc w:val="both"/>
        <w:rPr>
          <w:color w:val="FF0000"/>
          <w:sz w:val="28"/>
          <w:szCs w:val="28"/>
        </w:rPr>
      </w:pPr>
      <w:r>
        <w:rPr>
          <w:color w:val="000000"/>
          <w:sz w:val="28"/>
          <w:szCs w:val="28"/>
        </w:rPr>
        <w:t xml:space="preserve">   </w:t>
      </w:r>
      <w:r>
        <w:rPr>
          <w:color w:val="000000"/>
          <w:sz w:val="28"/>
          <w:szCs w:val="28"/>
        </w:rPr>
        <w:t>Конституционната уредба на съдебна власт е предмет на глава VI, която описва</w:t>
      </w:r>
      <w:r>
        <w:rPr>
          <w:sz w:val="28"/>
          <w:szCs w:val="28"/>
        </w:rPr>
        <w:t xml:space="preserve"> </w:t>
      </w:r>
      <w:r>
        <w:rPr>
          <w:color w:val="000000"/>
          <w:sz w:val="28"/>
          <w:szCs w:val="28"/>
        </w:rPr>
        <w:t>организацията на белгийската съдебна система. Тя се съдържа в</w:t>
      </w:r>
      <w:r>
        <w:rPr>
          <w:sz w:val="28"/>
          <w:szCs w:val="28"/>
        </w:rPr>
        <w:t xml:space="preserve"> </w:t>
      </w:r>
      <w:r>
        <w:rPr>
          <w:color w:val="000000"/>
          <w:sz w:val="28"/>
          <w:szCs w:val="28"/>
        </w:rPr>
        <w:t>членове от 144 до 15</w:t>
      </w:r>
      <w:r>
        <w:rPr>
          <w:sz w:val="28"/>
          <w:szCs w:val="28"/>
        </w:rPr>
        <w:t>9.</w:t>
      </w:r>
    </w:p>
    <w:p>
      <w:pPr>
        <w:pStyle w:val="Normal"/>
        <w:autoSpaceDE w:val="false"/>
        <w:jc w:val="both"/>
        <w:rPr/>
      </w:pPr>
      <w:r>
        <w:rPr>
          <w:sz w:val="28"/>
          <w:szCs w:val="28"/>
        </w:rPr>
        <w:t xml:space="preserve">   </w:t>
      </w:r>
      <w:r>
        <w:rPr>
          <w:sz w:val="28"/>
          <w:szCs w:val="28"/>
        </w:rPr>
        <w:t xml:space="preserve">Спецификата на правната уредба и структурата на съдебната система в Кралство Белгия се дължи на федералния характер на формата на държавно устройство, на регионалната диференциация в страната, на езиковите изисквания при провеждане на съдебните заседания и спрямо магистратите в отделните езикови общности и на други исторически, културни и социални фактори. Съдилищата и трибуналите в Белгия формират съдебната власт-власт, която функционира във взаимодействие с останалите конституционно установени държавни институции. </w:t>
      </w:r>
    </w:p>
    <w:p>
      <w:pPr>
        <w:pStyle w:val="Normal"/>
        <w:autoSpaceDE w:val="false"/>
        <w:ind w:firstLine="720"/>
        <w:jc w:val="both"/>
        <w:rPr>
          <w:sz w:val="28"/>
          <w:szCs w:val="28"/>
        </w:rPr>
      </w:pPr>
      <w:r>
        <w:rPr>
          <w:sz w:val="28"/>
          <w:szCs w:val="28"/>
        </w:rPr>
        <w:t>Създаването на съдилищата и трибуналите е допустимо само със</w:t>
      </w:r>
    </w:p>
    <w:p>
      <w:pPr>
        <w:pStyle w:val="Normal"/>
        <w:autoSpaceDE w:val="false"/>
        <w:jc w:val="both"/>
        <w:rPr/>
      </w:pPr>
      <w:r>
        <w:rPr>
          <w:sz w:val="28"/>
          <w:szCs w:val="28"/>
        </w:rPr>
        <w:t>закон. Забранено е установяването на извънредни съдилища или комисии. Съдебните заседания са публични, освен ако това би противоречало на обществения ред или на морала. В такъв случай съдът взема изрично решение за разглеждане на делото при закрити врата. При дела във връзка с политически процеси или със свободата на пресата за неспазването на принципа за публичност на съдебното заседание е необходимо единодушно съдебно решение. Съдебните решения задължително се мотивират. Те се произнасят в открито публично съдебно заседание. Участието на съдебни заседатели е конституционно предвидено по всички наказателни дела и за т.нар. политически деликти по пресата.</w:t>
      </w:r>
    </w:p>
    <w:p>
      <w:pPr>
        <w:pStyle w:val="Normal"/>
        <w:autoSpaceDE w:val="false"/>
        <w:ind w:firstLine="720"/>
        <w:jc w:val="both"/>
        <w:rPr/>
      </w:pPr>
      <w:r>
        <w:rPr>
          <w:sz w:val="28"/>
          <w:szCs w:val="28"/>
        </w:rPr>
        <w:t>Съдиите са независими при упражняването на правораздавателните си правомощия. Прокурорите са независими при извършването на разследване и преследване по наказателни дела при спазване на правото на компетентния министър да дава нареждания за задържането на определени лица и да издава задължителни указания във връзка с прокурорската дейност, включително и във връзка с провеждането на разследвания по наказателни дела, повдигането и поддържането на обвинението по такива дела. Съдилищата и трибуналите са длъжни да не прилагат подзаконовите нормативни актове, когато те противоречат на законите на страната.</w:t>
      </w:r>
    </w:p>
    <w:p>
      <w:pPr>
        <w:pStyle w:val="NormalWeb"/>
        <w:jc w:val="both"/>
        <w:rPr/>
      </w:pPr>
      <w:r>
        <w:rPr>
          <w:sz w:val="28"/>
          <w:szCs w:val="28"/>
        </w:rPr>
        <w:t xml:space="preserve">   </w:t>
      </w:r>
      <w:r>
        <w:rPr>
          <w:sz w:val="28"/>
          <w:szCs w:val="28"/>
        </w:rPr>
        <w:t>Конституцията регламентира валидността на функционирането на Върховния съд за цяла Белгия. Член 156 установява пет апелативни съдилища: в Брюксел, Гент, Антверпен, Лиеж и Монс. Военните съдилища могат да бъдат създавани по време на война. Също така се предвижда, че съществуват търговски съдилища, трудови съдилища и така наречените трибунали.</w:t>
      </w:r>
    </w:p>
    <w:p>
      <w:pPr>
        <w:pStyle w:val="NormalWeb"/>
        <w:jc w:val="both"/>
        <w:rPr>
          <w:sz w:val="28"/>
          <w:szCs w:val="28"/>
        </w:rPr>
      </w:pPr>
      <w:r>
        <w:rPr>
          <w:sz w:val="28"/>
          <w:szCs w:val="28"/>
        </w:rPr>
        <w:t xml:space="preserve">   </w:t>
      </w:r>
      <w:r>
        <w:rPr>
          <w:sz w:val="28"/>
          <w:szCs w:val="28"/>
        </w:rPr>
        <w:t>Съдиите се назначават за цял живот. Те се пенсионират на възраст определени със закон и се възползват от пенсия по ред, предвиден със закон.</w:t>
      </w:r>
    </w:p>
    <w:p>
      <w:pPr>
        <w:pStyle w:val="Normal"/>
        <w:jc w:val="both"/>
        <w:rPr/>
      </w:pPr>
      <w:r>
        <w:rPr>
          <w:color w:val="000000"/>
          <w:sz w:val="28"/>
          <w:szCs w:val="28"/>
        </w:rPr>
        <w:t xml:space="preserve">   </w:t>
      </w:r>
      <w:r>
        <w:rPr>
          <w:color w:val="000000"/>
          <w:sz w:val="28"/>
          <w:szCs w:val="28"/>
        </w:rPr>
        <w:t xml:space="preserve">Осъществяването на местната власт е регламентирана в Глава VIII от Конституцията и е озаглавена </w:t>
      </w:r>
      <w:r>
        <w:rPr>
          <w:iCs/>
          <w:color w:val="000000"/>
          <w:sz w:val="28"/>
          <w:szCs w:val="28"/>
        </w:rPr>
        <w:t>"На провинциалните и общински</w:t>
      </w:r>
      <w:r>
        <w:rPr>
          <w:sz w:val="28"/>
          <w:szCs w:val="28"/>
        </w:rPr>
        <w:t xml:space="preserve"> </w:t>
      </w:r>
      <w:r>
        <w:rPr>
          <w:iCs/>
          <w:color w:val="000000"/>
          <w:sz w:val="28"/>
          <w:szCs w:val="28"/>
        </w:rPr>
        <w:t>институции”.</w:t>
      </w:r>
      <w:r>
        <w:rPr>
          <w:color w:val="000000"/>
          <w:sz w:val="28"/>
          <w:szCs w:val="28"/>
        </w:rPr>
        <w:t xml:space="preserve"> Както подсказва заглавието, тази глава описва организацията на институциите в</w:t>
      </w:r>
      <w:r>
        <w:rPr>
          <w:sz w:val="28"/>
          <w:szCs w:val="28"/>
        </w:rPr>
        <w:t xml:space="preserve"> </w:t>
      </w:r>
      <w:r>
        <w:rPr>
          <w:color w:val="000000"/>
          <w:sz w:val="28"/>
          <w:szCs w:val="28"/>
        </w:rPr>
        <w:t>провинциите и общините в Белгия. Тя обхваща членове от 162 до 166. Член 162, установява принципите на</w:t>
      </w:r>
      <w:r>
        <w:rPr>
          <w:sz w:val="28"/>
          <w:szCs w:val="28"/>
        </w:rPr>
        <w:t xml:space="preserve"> </w:t>
      </w:r>
      <w:r>
        <w:rPr>
          <w:color w:val="000000"/>
          <w:sz w:val="28"/>
          <w:szCs w:val="28"/>
        </w:rPr>
        <w:t xml:space="preserve">организация на провинциалните и общински институции, като регламентира провеждането на избори за членство в провинциалните и общинските съвети. Член 163 определя, че </w:t>
      </w:r>
      <w:r>
        <w:rPr>
          <w:rStyle w:val="Longtext"/>
          <w:sz w:val="28"/>
          <w:szCs w:val="28"/>
          <w:shd w:fill="FFFFFF" w:val="clear"/>
        </w:rPr>
        <w:t>функциите на провинциалните органи, извън столичния регион Брюксел, се упражняват от институциите на фламандската общност, на френската общност, общностните и регионалните комисии.</w:t>
      </w:r>
      <w:r>
        <w:rPr>
          <w:color w:val="000000"/>
          <w:sz w:val="28"/>
          <w:szCs w:val="28"/>
        </w:rPr>
        <w:t xml:space="preserve"> Член 165 предвижда, че</w:t>
      </w:r>
      <w:r>
        <w:rPr>
          <w:sz w:val="28"/>
          <w:szCs w:val="28"/>
        </w:rPr>
        <w:t xml:space="preserve"> със </w:t>
      </w:r>
      <w:r>
        <w:rPr>
          <w:color w:val="000000"/>
          <w:sz w:val="28"/>
          <w:szCs w:val="28"/>
        </w:rPr>
        <w:t>закон могат да се създадат агломерации и федерации на общините. Той също така описва</w:t>
      </w:r>
      <w:r>
        <w:rPr>
          <w:sz w:val="28"/>
          <w:szCs w:val="28"/>
        </w:rPr>
        <w:t xml:space="preserve"> </w:t>
      </w:r>
      <w:r>
        <w:rPr>
          <w:color w:val="000000"/>
          <w:sz w:val="28"/>
          <w:szCs w:val="28"/>
        </w:rPr>
        <w:t>функционирането на тези агломерации и федерации. Член 166 конкретизира как предходният член се</w:t>
      </w:r>
      <w:r>
        <w:rPr>
          <w:sz w:val="28"/>
          <w:szCs w:val="28"/>
        </w:rPr>
        <w:t xml:space="preserve"> </w:t>
      </w:r>
      <w:r>
        <w:rPr>
          <w:color w:val="000000"/>
          <w:sz w:val="28"/>
          <w:szCs w:val="28"/>
        </w:rPr>
        <w:t>прилага към общините на Регион Брюксел.</w:t>
      </w:r>
    </w:p>
    <w:p>
      <w:pPr>
        <w:pStyle w:val="Normal"/>
        <w:rPr>
          <w:color w:val="000000"/>
          <w:sz w:val="28"/>
          <w:szCs w:val="28"/>
        </w:rPr>
      </w:pPr>
      <w:r>
        <w:rPr>
          <w:color w:val="000000"/>
          <w:sz w:val="28"/>
          <w:szCs w:val="28"/>
        </w:rPr>
      </w:r>
    </w:p>
    <w:p>
      <w:pPr>
        <w:pStyle w:val="Normal"/>
        <w:rPr>
          <w:color w:val="000000"/>
        </w:rPr>
      </w:pPr>
      <w:r>
        <w:rPr>
          <w:color w:val="000000"/>
        </w:rPr>
      </w:r>
    </w:p>
    <w:p>
      <w:pPr>
        <w:pStyle w:val="Normal"/>
        <w:jc w:val="both"/>
        <w:rPr>
          <w:color w:val="000000"/>
          <w:sz w:val="28"/>
          <w:szCs w:val="28"/>
        </w:rPr>
      </w:pPr>
      <w:r>
        <w:rPr>
          <w:color w:val="000000"/>
          <w:sz w:val="28"/>
          <w:szCs w:val="28"/>
        </w:rPr>
        <w:t xml:space="preserve">   </w:t>
      </w:r>
      <w:r>
        <w:rPr>
          <w:color w:val="000000"/>
          <w:sz w:val="28"/>
          <w:szCs w:val="28"/>
        </w:rPr>
        <w:t xml:space="preserve">В общи линии Конституцията на Белгия описва един федерализъм в твърде специфична форма. Той дори притежава </w:t>
      </w:r>
      <w:r>
        <w:rPr>
          <w:color w:val="000000"/>
          <w:sz w:val="29"/>
          <w:szCs w:val="29"/>
        </w:rPr>
        <w:t>някои конфедерални характеристики- като необходимост от двойно мнозинство за конституционни промени. От друга страна той има и унитарни черти- все още 80% от публичните разходи се управляват от федералното правителство, а осигурителната система, с малки изключения, остава организирана на национално ниво.</w:t>
        <w:br/>
        <w:t xml:space="preserve">В хода на федерализацията държавните институции са силно усложнени. Освен федералното правителство е въведено разделение по език на </w:t>
      </w:r>
      <w:r>
        <w:rPr>
          <w:iCs/>
          <w:color w:val="000000"/>
          <w:sz w:val="29"/>
          <w:szCs w:val="29"/>
        </w:rPr>
        <w:t>общности</w:t>
      </w:r>
      <w:r>
        <w:rPr>
          <w:color w:val="000000"/>
          <w:sz w:val="29"/>
          <w:szCs w:val="29"/>
        </w:rPr>
        <w:t xml:space="preserve"> (Френска общност, Фламандска общност и Германска общност) и отделно разделение по </w:t>
      </w:r>
      <w:r>
        <w:rPr>
          <w:iCs/>
          <w:color w:val="000000"/>
          <w:sz w:val="29"/>
          <w:szCs w:val="29"/>
        </w:rPr>
        <w:t>региони</w:t>
      </w:r>
      <w:r>
        <w:rPr>
          <w:color w:val="000000"/>
          <w:sz w:val="29"/>
          <w:szCs w:val="29"/>
        </w:rPr>
        <w:t xml:space="preserve"> (Валонски регион, Фламандски регион и Столичен регион Брюксел). Фламандската общност и Фламандският регион са свързани и имат общо правителство.</w:t>
        <w:br/>
        <w:t>Отговорността за различните сфери на управлението е разпределена между различните нива:</w:t>
        <w:br/>
      </w:r>
      <w:r>
        <w:rPr>
          <w:bCs/>
          <w:color w:val="000000"/>
          <w:sz w:val="29"/>
          <w:szCs w:val="29"/>
          <w:u w:val="single"/>
        </w:rPr>
        <w:t>федерално правителство</w:t>
      </w:r>
      <w:r>
        <w:rPr>
          <w:color w:val="000000"/>
          <w:sz w:val="29"/>
          <w:szCs w:val="29"/>
        </w:rPr>
        <w:t xml:space="preserve"> (външни работи, външна търговия, отбрана, икономическа политика, обществено осигуряване (вкл. пенсии, здравеопазване, социални помощи), транспорт, ограничени компетенции в образованието, културата и научните изследвания, както и контрол върху данъчното облагане в регионите и, още по-важно, 80% от данъчните приходи), </w:t>
      </w:r>
      <w:r>
        <w:rPr>
          <w:bCs/>
          <w:color w:val="000000"/>
          <w:sz w:val="29"/>
          <w:szCs w:val="29"/>
          <w:u w:val="single"/>
        </w:rPr>
        <w:t>правителства на общностите</w:t>
      </w:r>
      <w:r>
        <w:rPr>
          <w:color w:val="000000"/>
          <w:sz w:val="29"/>
          <w:szCs w:val="29"/>
        </w:rPr>
        <w:t xml:space="preserve"> (език, култура и образование (вкл. училища, библиотеки, театри и т.н.), </w:t>
        <w:br/>
      </w:r>
      <w:r>
        <w:rPr>
          <w:bCs/>
          <w:color w:val="000000"/>
          <w:sz w:val="29"/>
          <w:szCs w:val="29"/>
          <w:u w:val="single"/>
        </w:rPr>
        <w:t>регионални правителства</w:t>
      </w:r>
      <w:r>
        <w:rPr>
          <w:color w:val="000000"/>
          <w:sz w:val="29"/>
          <w:szCs w:val="29"/>
        </w:rPr>
        <w:t xml:space="preserve"> (въпроси свързани с териториалното устройство и собствеността (регионална икономическа политика, градоустройство, транспорт и т.н.) </w:t>
        <w:br/>
        <w:t xml:space="preserve">Федералната изпълнителна власт се упражнява от министър-председател и правителство. </w:t>
      </w:r>
    </w:p>
    <w:p>
      <w:pPr>
        <w:pStyle w:val="NormalWeb"/>
        <w:jc w:val="both"/>
        <w:rPr>
          <w:sz w:val="28"/>
          <w:szCs w:val="28"/>
        </w:rPr>
      </w:pPr>
      <w:r>
        <w:rPr>
          <w:sz w:val="28"/>
          <w:szCs w:val="28"/>
        </w:rPr>
        <w:t>Белгийската конституция е изменяна 23 пъти: веднъж през 1996 г., три пъти през 1997 г., четири пъти през 1998 г., два пъти през 1999 г. и през 2000 г., два пъти през 2002 г. и през 2004 г., и три пъти през 2005 г. и през 2007 година. Най-новите промени в Конституцията са от 7 май 2007 г., когато на Арбитражният съд официално е преименуван на Конституционен съд с цел да отрази по-добре областта на неговата компетентност.</w:t>
      </w:r>
    </w:p>
    <w:p>
      <w:pPr>
        <w:pStyle w:val="Normal"/>
        <w:rPr>
          <w:color w:val="000000"/>
          <w:sz w:val="28"/>
          <w:szCs w:val="28"/>
        </w:rPr>
      </w:pPr>
      <w:r>
        <w:rPr>
          <w:color w:val="000000"/>
          <w:sz w:val="28"/>
          <w:szCs w:val="28"/>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color w:val="000000"/>
        </w:rPr>
      </w:pPr>
      <w:r>
        <w:rPr>
          <w:color w:val="000000"/>
        </w:rPr>
      </w:r>
    </w:p>
    <w:p>
      <w:pPr>
        <w:pStyle w:val="Normal"/>
        <w:rPr>
          <w:b/>
          <w:b/>
          <w:i/>
          <w:i/>
          <w:color w:val="000000"/>
          <w:sz w:val="32"/>
          <w:szCs w:val="32"/>
          <w:u w:val="single"/>
        </w:rPr>
      </w:pPr>
      <w:r>
        <w:rPr>
          <w:b/>
          <w:i/>
          <w:color w:val="000000"/>
          <w:sz w:val="32"/>
          <w:szCs w:val="32"/>
          <w:u w:val="single"/>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pStyle w:val="Heading2"/>
      <w:numFmt w:val="none"/>
      <w:suff w:val="nothing"/>
      <w:lvlText w:val=""/>
      <w:lvlJc w:val="left"/>
      <w:pPr>
        <w:ind w:left="0" w:hanging="0"/>
      </w:pPr>
    </w:lvl>
    <w:lvl w:ilvl="2">
      <w:start w:val="1"/>
      <w:pStyle w:val="Heading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paragraph" w:styleId="Heading2">
    <w:name w:val="Heading 2"/>
    <w:basedOn w:val="Normal"/>
    <w:next w:val="TextBody"/>
    <w:qFormat/>
    <w:pPr>
      <w:numPr>
        <w:ilvl w:val="1"/>
        <w:numId w:val="1"/>
      </w:numPr>
      <w:spacing w:before="280" w:after="280"/>
      <w:outlineLvl w:val="1"/>
    </w:pPr>
    <w:rPr>
      <w:b/>
      <w:bCs/>
      <w:sz w:val="36"/>
      <w:szCs w:val="36"/>
    </w:rPr>
  </w:style>
  <w:style w:type="paragraph" w:styleId="Heading3">
    <w:name w:val="Heading 3"/>
    <w:basedOn w:val="Normal"/>
    <w:next w:val="TextBody"/>
    <w:qFormat/>
    <w:pPr>
      <w:numPr>
        <w:ilvl w:val="2"/>
        <w:numId w:val="1"/>
      </w:numPr>
      <w:spacing w:before="280" w:after="280"/>
      <w:outlineLvl w:val="2"/>
    </w:pPr>
    <w:rPr>
      <w:b/>
      <w:bCs/>
      <w:sz w:val="27"/>
      <w:szCs w:val="27"/>
    </w:rPr>
  </w:style>
  <w:style w:type="character" w:styleId="WW8Num1z0">
    <w:name w:val="WW8Num1z0"/>
    <w:qFormat/>
    <w:rPr>
      <w:rFonts w:ascii="Symbol" w:hAnsi="Symbol" w:cs="Symbol"/>
      <w:sz w:val="20"/>
    </w:rPr>
  </w:style>
  <w:style w:type="character" w:styleId="WW8Num1z1">
    <w:name w:val="WW8Num1z1"/>
    <w:qFormat/>
    <w:rPr>
      <w:rFonts w:ascii="Courier New" w:hAnsi="Courier New" w:cs="Courier New"/>
      <w:sz w:val="20"/>
    </w:rPr>
  </w:style>
  <w:style w:type="character" w:styleId="WW8Num1z2">
    <w:name w:val="WW8Num1z2"/>
    <w:qFormat/>
    <w:rPr>
      <w:rFonts w:ascii="Wingdings" w:hAnsi="Wingdings" w:cs="Wingdings"/>
      <w:sz w:val="20"/>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character" w:styleId="InternetLink">
    <w:name w:val="Internet Link"/>
    <w:basedOn w:val="DefaultParagraphFont"/>
    <w:rPr>
      <w:color w:val="0000FF"/>
      <w:u w:val="single"/>
    </w:rPr>
  </w:style>
  <w:style w:type="character" w:styleId="Googlesrctext">
    <w:name w:val="google-src-text"/>
    <w:basedOn w:val="DefaultParagraphFont"/>
    <w:qFormat/>
    <w:rPr/>
  </w:style>
  <w:style w:type="character" w:styleId="Mwheadline">
    <w:name w:val="mw-headline"/>
    <w:basedOn w:val="DefaultParagraphFont"/>
    <w:qFormat/>
    <w:rPr/>
  </w:style>
  <w:style w:type="character" w:styleId="Editsection">
    <w:name w:val="editsection"/>
    <w:basedOn w:val="DefaultParagraphFont"/>
    <w:qFormat/>
    <w:rPr/>
  </w:style>
  <w:style w:type="character" w:styleId="VisitedInternetLink">
    <w:name w:val="Visited Internet Link"/>
    <w:basedOn w:val="DefaultParagraphFont"/>
    <w:rPr>
      <w:color w:val="0000FF"/>
      <w:u w:val="single"/>
    </w:rPr>
  </w:style>
  <w:style w:type="character" w:styleId="FootnoteCharacters">
    <w:name w:val="Footnote Characters"/>
    <w:basedOn w:val="DefaultParagraphFont"/>
    <w:qFormat/>
    <w:rPr>
      <w:vertAlign w:val="superscript"/>
    </w:rPr>
  </w:style>
  <w:style w:type="character" w:styleId="Longtext">
    <w:name w:val="long_text"/>
    <w:basedOn w:val="DefaultParagraphFont"/>
    <w:qFormat/>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NormalWeb">
    <w:name w:val="Normal (Web)"/>
    <w:basedOn w:val="Normal"/>
    <w:qFormat/>
    <w:pPr>
      <w:spacing w:before="280" w:after="280"/>
    </w:pPr>
    <w:rPr/>
  </w:style>
  <w:style w:type="paragraph" w:styleId="Footnote">
    <w:name w:val="Footnote Text"/>
    <w:basedOn w:val="Normal"/>
    <w:pPr/>
    <w:rPr>
      <w:sz w:val="20"/>
      <w:szCs w:val="20"/>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g.wikipedia.org/wiki/&#1044;&#1098;&#1088;&#1078;&#1072;&#1074;&#1072;" TargetMode="External"/><Relationship Id="rId3" Type="http://schemas.openxmlformats.org/officeDocument/2006/relationships/hyperlink" Target="http://bg.wikipedia.org/wiki/&#1045;&#1074;&#1088;&#1086;&#1087;&#1072;" TargetMode="External"/><Relationship Id="rId4" Type="http://schemas.openxmlformats.org/officeDocument/2006/relationships/hyperlink" Target="http://bg.wikipedia.org/wiki/&#1053;&#1080;&#1076;&#1077;&#1088;&#1083;&#1072;&#1085;&#1076;&#1080;&#1103;" TargetMode="External"/><Relationship Id="rId5" Type="http://schemas.openxmlformats.org/officeDocument/2006/relationships/hyperlink" Target="http://bg.wikipedia.org/wiki/&#1043;&#1077;&#1088;&#1084;&#1072;&#1085;&#1080;&#1103;" TargetMode="External"/><Relationship Id="rId6" Type="http://schemas.openxmlformats.org/officeDocument/2006/relationships/hyperlink" Target="http://bg.wikipedia.org/wiki/&#1051;&#1102;&#1082;&#1089;&#1077;&#1084;&#1073;&#1091;&#1088;&#1075;" TargetMode="External"/><Relationship Id="rId7" Type="http://schemas.openxmlformats.org/officeDocument/2006/relationships/hyperlink" Target="http://bg.wikipedia.org/wiki/&#1060;&#1088;&#1072;&#1085;&#1094;&#1080;&#1103;" TargetMode="External"/><Relationship Id="rId8" Type="http://schemas.openxmlformats.org/officeDocument/2006/relationships/hyperlink" Target="http://bg.wikipedia.org/wiki/&#1057;&#1077;&#1074;&#1077;&#1088;&#1085;&#1086;_&#1084;&#1086;&#1088;&#1077;" TargetMode="External"/><Relationship Id="rId9" Type="http://schemas.openxmlformats.org/officeDocument/2006/relationships/hyperlink" Target="http://bg.wikipedia.org/wiki/&#1043;&#1077;&#1088;&#1084;&#1072;&#1085;&#1089;&#1082;&#1080;_&#1077;&#1079;&#1080;&#1094;&#1080;" TargetMode="External"/><Relationship Id="rId10" Type="http://schemas.openxmlformats.org/officeDocument/2006/relationships/hyperlink" Target="http://bg.wikipedia.org/wiki/&#1056;&#1086;&#1084;&#1072;&#1085;&#1089;&#1082;&#1080;_&#1077;&#1079;&#1080;&#1094;&#1080;" TargetMode="External"/><Relationship Id="rId11" Type="http://schemas.openxmlformats.org/officeDocument/2006/relationships/hyperlink" Target="http://bg.wikipedia.org/wiki/&#1053;&#1080;&#1076;&#1077;&#1088;&#1083;&#1072;&#1085;&#1076;&#1089;&#1082;&#1080;_&#1077;&#1079;&#1080;&#1082;" TargetMode="External"/><Relationship Id="rId12" Type="http://schemas.openxmlformats.org/officeDocument/2006/relationships/hyperlink" Target="http://bg.wikipedia.org/wiki/&#1060;&#1083;&#1072;&#1084;&#1072;&#1085;&#1076;&#1089;&#1082;&#1080;_&#1077;&#1079;&#1080;&#1082;" TargetMode="External"/><Relationship Id="rId13" Type="http://schemas.openxmlformats.org/officeDocument/2006/relationships/hyperlink" Target="http://bg.wikipedia.org/wiki/&#1060;&#1083;&#1072;&#1085;&#1076;&#1088;&#1080;&#1103;" TargetMode="External"/><Relationship Id="rId14" Type="http://schemas.openxmlformats.org/officeDocument/2006/relationships/hyperlink" Target="http://bg.wikipedia.org/wiki/&#1060;&#1088;&#1077;&#1085;&#1089;&#1082;&#1080;_&#1077;&#1079;&#1080;&#1082;" TargetMode="External"/><Relationship Id="rId15" Type="http://schemas.openxmlformats.org/officeDocument/2006/relationships/hyperlink" Target="http://bg.wikipedia.org/wiki/&#1042;&#1072;&#1083;&#1086;&#1085;&#1080;&#1103;" TargetMode="External"/><Relationship Id="rId16" Type="http://schemas.openxmlformats.org/officeDocument/2006/relationships/hyperlink" Target="http://bg.wikipedia.org/wiki/&#1053;&#1077;&#1084;&#1089;&#1082;&#1080;_&#1077;&#1079;&#1080;&#1082;" TargetMode="External"/><Relationship Id="rId17" Type="http://schemas.openxmlformats.org/officeDocument/2006/relationships/hyperlink" Target="http://bg.wikipedia.org/wiki/&#1057;&#1090;&#1086;&#1083;&#1080;&#1095;&#1077;&#1085;_&#1088;&#1077;&#1075;&#1080;&#1086;&#1085;_&#1041;&#1088;&#1102;&#1082;&#1089;&#1077;&#1083;" TargetMode="External"/><Relationship Id="rId18" Type="http://schemas.openxmlformats.org/officeDocument/2006/relationships/hyperlink" Target="http://bg.wikipedia.org/wiki/&#1044;&#1098;&#1088;&#1078;&#1072;&#1074;&#1085;&#1086;_&#1091;&#1089;&#1090;&#1088;&#1086;&#1081;&#1089;&#1090;&#1074;&#1086;_&#1085;&#1072;_&#1041;&#1077;&#1083;&#1075;&#1080;&#1103;" TargetMode="External"/><Relationship Id="rId19" Type="http://schemas.openxmlformats.org/officeDocument/2006/relationships/hyperlink" Target="http://bg.wikipedia.org/wiki/&#1056;&#1072;&#1089;&#1072;" TargetMode="External"/><Relationship Id="rId20" Type="http://schemas.openxmlformats.org/officeDocument/2006/relationships/hyperlink" Target="http://bg.wikipedia.org/wiki/&#1050;&#1091;&#1083;&#1090;&#1091;&#1088;&#1072;" TargetMode="External"/><Relationship Id="rId21" Type="http://schemas.openxmlformats.org/officeDocument/2006/relationships/hyperlink" Target="http://bg.wikipedia.org/wiki/&#1050;&#1077;&#1083;&#1090;&#1080;" TargetMode="External"/><Relationship Id="rId22" Type="http://schemas.openxmlformats.org/officeDocument/2006/relationships/hyperlink" Target="http://bg.wikipedia.org/wiki/&#1056;&#1080;&#1084;&#1089;&#1082;&#1072;_&#1080;&#1084;&#1087;&#1077;&#1088;&#1080;&#1103;" TargetMode="External"/><Relationship Id="rId23" Type="http://schemas.openxmlformats.org/officeDocument/2006/relationships/hyperlink" Target="http://bg.wikipedia.org/wiki/&#1043;&#1077;&#1088;&#1084;&#1072;&#1085;&#1089;&#1082;&#1080;_&#1085;&#1072;&#1088;&#1086;&#1076;&#1080;" TargetMode="External"/><Relationship Id="rId24" Type="http://schemas.openxmlformats.org/officeDocument/2006/relationships/hyperlink" Target="http://bg.wikipedia.org/wiki/&#1060;&#1088;&#1072;&#1085;&#1094;&#1080;&#1103;" TargetMode="External"/><Relationship Id="rId25" Type="http://schemas.openxmlformats.org/officeDocument/2006/relationships/hyperlink" Target="http://bg.wikipedia.org/wiki/&#1053;&#1080;&#1076;&#1077;&#1088;&#1083;&#1072;&#1085;&#1076;&#1080;&#1103;" TargetMode="External"/><Relationship Id="rId26" Type="http://schemas.openxmlformats.org/officeDocument/2006/relationships/hyperlink" Target="http://bg.wikipedia.org/wiki/&#1048;&#1089;&#1087;&#1072;&#1085;&#1080;&#1103;" TargetMode="External"/><Relationship Id="rId27" Type="http://schemas.openxmlformats.org/officeDocument/2006/relationships/hyperlink" Target="http://bg.wikipedia.org/wiki/&#1040;&#1074;&#1089;&#1090;&#1088;&#1080;&#1103;" TargetMode="External"/><Relationship Id="rId28" Type="http://schemas.openxmlformats.org/officeDocument/2006/relationships/hyperlink" Target="http://bg.wikipedia.org/wiki/20_&#1074;&#1077;&#1082;" TargetMode="External"/><Relationship Id="rId29" Type="http://schemas.openxmlformats.org/officeDocument/2006/relationships/hyperlink" Target="http://bg.wikipedia.org/wiki/1970" TargetMode="External"/><Relationship Id="rId30" Type="http://schemas.openxmlformats.org/officeDocument/2006/relationships/hyperlink" Target="http://bg.wikipedia.org/wiki/&#1060;&#1083;&#1072;&#1084;&#1072;&#1085;&#1076;&#1089;&#1082;&#1080;_&#1077;&#1079;&#1080;&#1082;" TargetMode="External"/><Relationship Id="rId31" Type="http://schemas.openxmlformats.org/officeDocument/2006/relationships/hyperlink" Target="http://translate.googleusercontent.com/translate_c?hl=bg&amp;langpair=en|bg&amp;u=http://en.wikipedia.org/wiki/Belgium&amp;rurl=translate.google.bg&amp;usg=ALkJrhiShDvJEgUSn11TtYbhtosq8L1SbQ" TargetMode="External"/><Relationship Id="rId32" Type="http://schemas.openxmlformats.org/officeDocument/2006/relationships/hyperlink" Target="http://translate.googleusercontent.com/translate_c?hl=bg&amp;langpair=en|bg&amp;u=http://en.wikipedia.org/wiki/Belgian_federal_government&amp;rurl=translate.google.bg&amp;usg=ALkJrhhHF-VlfqPhPG9aNsByNsKnsjMwcw" TargetMode="External"/><Relationship Id="rId33" Type="http://schemas.openxmlformats.org/officeDocument/2006/relationships/hyperlink" Target="http://translate.googleusercontent.com/translate_c?hl=bg&amp;langpair=en|bg&amp;u=http://en.wikipedia.org/wiki/Municipalities_of_Belgium&amp;rurl=translate.google.bg&amp;usg=ALkJrhgEKj2aYIj1T2cm-t-QtHtvmHHxzg" TargetMode="External"/><Relationship Id="rId34" Type="http://schemas.openxmlformats.org/officeDocument/2006/relationships/hyperlink" Target="http://translate.googleusercontent.com/translate_c?hl=bg&amp;langpair=en|bg&amp;u=http://en.wikipedia.org/wiki/Belgium&amp;rurl=translate.google.bg&amp;usg=ALkJrhiShDvJEgUSn11TtYbhtosq8L1SbQ" TargetMode="External"/><Relationship Id="rId35" Type="http://schemas.openxmlformats.org/officeDocument/2006/relationships/hyperlink" Target="http://translate.googleusercontent.com/translate_c?hl=bg&amp;langpair=en|bg&amp;u=http://en.wikipedia.org/wiki/Communities_and_regions_of_Belgium&amp;rurl=translate.google.bg&amp;usg=ALkJrhgS322Pg9SBU0HhN-KCNaVRm2aFaw" TargetMode="External"/><Relationship Id="rId36" Type="http://schemas.openxmlformats.org/officeDocument/2006/relationships/hyperlink" Target="http://translate.googleusercontent.com/translate_c?hl=bg&amp;langpair=en|bg&amp;u=http://en.wikipedia.org/wiki/Flemish_Community&amp;rurl=translate.google.bg&amp;usg=ALkJrhgOmOY-p7GYiaZhGRusW5WXGRoTTA" TargetMode="External"/><Relationship Id="rId37" Type="http://schemas.openxmlformats.org/officeDocument/2006/relationships/hyperlink" Target="http://translate.googleusercontent.com/translate_c?hl=bg&amp;langpair=en|bg&amp;u=http://en.wikipedia.org/wiki/French_Community_of_Belgium&amp;rurl=translate.google.bg&amp;usg=ALkJrhitzrAA5UCaEahvyUofxMXDHkU1Lg" TargetMode="External"/><Relationship Id="rId38" Type="http://schemas.openxmlformats.org/officeDocument/2006/relationships/hyperlink" Target="http://translate.googleusercontent.com/translate_c?hl=bg&amp;langpair=en|bg&amp;u=http://en.wikipedia.org/wiki/German-speaking_Community_of_Belgium&amp;rurl=translate.google.bg&amp;usg=ALkJrhhErCWcPQngSs0BYQCOkDLVP1sWCA" TargetMode="External"/><Relationship Id="rId39" Type="http://schemas.openxmlformats.org/officeDocument/2006/relationships/hyperlink" Target="http://bg.wikipedia.org/wiki/&#1057;&#1090;&#1086;&#1083;&#1080;&#1095;&#1077;&#1085;_&#1088;&#1077;&#1075;&#1080;&#1086;&#1085;_&#1041;&#1088;&#1102;&#1082;&#1089;&#1077;&#1083;" TargetMode="External"/><Relationship Id="rId40" Type="http://schemas.openxmlformats.org/officeDocument/2006/relationships/hyperlink" Target="http://bg.wikipedia.org/wiki/&#1060;&#1083;&#1072;&#1085;&#1076;&#1088;&#1080;&#1103;" TargetMode="External"/><Relationship Id="rId41" Type="http://schemas.openxmlformats.org/officeDocument/2006/relationships/hyperlink" Target="http://bg.wikipedia.org/wiki/&#1042;&#1072;&#1083;&#1086;&#1085;&#1080;&#1103;" TargetMode="External"/><Relationship Id="rId42" Type="http://schemas.openxmlformats.org/officeDocument/2006/relationships/hyperlink" Target="http://bg.wikipedia.org/wiki/&#1053;&#1080;&#1076;&#1077;&#1088;&#1083;&#1072;&#1085;&#1076;&#1089;&#1082;&#1080;_&#1077;&#1079;&#1080;&#1082;" TargetMode="External"/><Relationship Id="rId43" Type="http://schemas.openxmlformats.org/officeDocument/2006/relationships/hyperlink" Target="http://bg.wikipedia.org/wiki/&#1060;&#1083;&#1072;&#1084;&#1072;&#1085;&#1076;&#1089;&#1082;&#1080;_&#1088;&#1077;&#1075;&#1080;&#1086;&#1085;" TargetMode="External"/><Relationship Id="rId44" Type="http://schemas.openxmlformats.org/officeDocument/2006/relationships/hyperlink" Target="http://bg.wikipedia.org/wiki/&#1060;&#1088;&#1077;&#1085;&#1089;&#1082;&#1080;_&#1077;&#1079;&#1080;&#1082;" TargetMode="External"/><Relationship Id="rId45" Type="http://schemas.openxmlformats.org/officeDocument/2006/relationships/hyperlink" Target="http://bg.wikipedia.org/wiki/&#1042;&#1072;&#1083;&#1086;&#1085;&#1080;&#1103;" TargetMode="External"/><Relationship Id="rId46" Type="http://schemas.openxmlformats.org/officeDocument/2006/relationships/hyperlink" Target="http://bg.wikipedia.org/wiki/&#1057;&#1090;&#1086;&#1083;&#1080;&#1095;&#1077;&#1085;_&#1088;&#1077;&#1075;&#1080;&#1086;&#1085;_&#1041;&#1088;&#1102;&#1082;&#1089;&#1077;&#1083;" TargetMode="External"/><Relationship Id="rId47" Type="http://schemas.openxmlformats.org/officeDocument/2006/relationships/hyperlink" Target="http://translate.googleusercontent.com/translate_c?hl=bg&amp;langpair=en|bg&amp;u=http://en.wikipedia.org/wiki/Municipality&amp;rurl=translate.google.bg&amp;usg=ALkJrhjvdm_tlPdhwL6HxFnUxnTYdLQMmQ" TargetMode="External"/><Relationship Id="rId48" Type="http://schemas.openxmlformats.org/officeDocument/2006/relationships/numbering" Target="numbering.xml"/><Relationship Id="rId49" Type="http://schemas.openxmlformats.org/officeDocument/2006/relationships/fontTable" Target="fontTable.xml"/><Relationship Id="rId5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10</TotalTime>
  <Application>LibreOffice/6.2.3.2$Linux_X86_64 LibreOffice_project/20$Build-2</Application>
  <Pages>11</Pages>
  <Words>3222</Words>
  <Characters>18803</Characters>
  <CharactersWithSpaces>22132</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2010-02-05T11:36:00Z</dcterms:created>
  <dc:creator>ani</dc:creator>
  <dc:description/>
  <cp:keywords/>
  <dc:language>en-US</dc:language>
  <cp:lastModifiedBy>ani</cp:lastModifiedBy>
  <dcterms:modified xsi:type="dcterms:W3CDTF">2011-03-31T12:46:00Z</dcterms:modified>
  <cp:revision>3</cp:revision>
  <dc:subject/>
  <dc:title>1</dc:title>
</cp:coreProperties>
</file>